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348251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943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3"/>
        <w:jc w:val="both"/>
        <w:rPr>
          <w:sz w:val="22"/>
        </w:rPr>
      </w:pPr>
      <w:r>
        <w:rPr>
          <w:b/>
          <w:sz w:val="22"/>
          <w:szCs w:val="18"/>
        </w:rPr>
        <w:t xml:space="preserve">«_27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__522__</w:t>
      </w:r>
      <w:r>
        <w:rPr>
          <w:sz w:val="22"/>
        </w:rPr>
      </w:r>
      <w:r/>
    </w:p>
    <w:p>
      <w:pPr>
        <w:pStyle w:val="957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b/>
          <w:sz w:val="22"/>
          <w:szCs w:val="28"/>
        </w:rPr>
      </w:r>
      <w:r/>
    </w:p>
    <w:p>
      <w:pPr>
        <w:pStyle w:val="95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6"/>
              <w:jc w:val="center"/>
              <w:rPr>
                <w:b/>
                <w:sz w:val="26"/>
                <w:szCs w:val="26"/>
              </w:rPr>
            </w:pP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Об утверждении Порядка признания безнадежной </w:t>
            </w: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к взысканию и списании задолженности по арендной плате, начисленным пеням, штрафам за использование земельных участков </w:t>
            </w:r>
            <w:r>
              <w:rPr>
                <w:b/>
                <w:color w:val="000000"/>
                <w:sz w:val="26"/>
                <w:szCs w:val="26"/>
              </w:rPr>
              <w:t xml:space="preserve">государственная собственность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на которые не разграничена, земельных участков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и муниципального имущества,</w:t>
            </w: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находящихся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в муниципальной собственности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rStyle w:val="988"/>
                <w:b/>
                <w:bCs/>
                <w:color w:val="000000"/>
                <w:sz w:val="26"/>
                <w:szCs w:val="26"/>
              </w:rPr>
              <w:t xml:space="preserve">Грайворонского городского округа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957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57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43"/>
        <w:ind w:firstLine="70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"consultantplus://offline/ref=AFE169889808420E7FC617377FC27CF749FE1169EABC23952091522B7A959F3341FC99D8AD383DABC0BFA2B84496FEE3C71E5A25B23BTFiFK"</w:instrText>
      </w:r>
      <w:r>
        <w:rPr>
          <w:sz w:val="26"/>
          <w:szCs w:val="26"/>
        </w:rPr>
        <w:fldChar w:fldCharType="separate"/>
      </w:r>
      <w:r>
        <w:rPr>
          <w:bCs/>
          <w:sz w:val="26"/>
          <w:szCs w:val="26"/>
        </w:rPr>
        <w:t xml:space="preserve">статьями 47.2</w:t>
      </w:r>
      <w:r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"consultantplus://offline/ref=AFE169889808420E7FC617377FC27CF749FE1169EABC23952091522B7A959F3341FC99D8AA3F33ABC0BFA2B84496FEE3C71E5A25B23BTFiFK"</w:instrText>
      </w:r>
      <w:r>
        <w:rPr>
          <w:sz w:val="26"/>
          <w:szCs w:val="26"/>
        </w:rPr>
        <w:fldChar w:fldCharType="separate"/>
      </w:r>
      <w:r>
        <w:rPr>
          <w:bCs/>
          <w:sz w:val="26"/>
          <w:szCs w:val="26"/>
        </w:rPr>
        <w:t xml:space="preserve">160.1</w:t>
      </w:r>
      <w:r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Бюджетного кодекса Российской Федерации</w:t>
      </w:r>
      <w:r>
        <w:rPr>
          <w:color w:val="000000"/>
          <w:sz w:val="26"/>
          <w:szCs w:val="26"/>
        </w:rPr>
        <w:t xml:space="preserve">, Федеральным законом от 06</w:t>
      </w:r>
      <w:r>
        <w:rPr>
          <w:color w:val="000000"/>
          <w:sz w:val="26"/>
          <w:szCs w:val="26"/>
        </w:rPr>
        <w:t xml:space="preserve"> октября </w:t>
      </w:r>
      <w:r>
        <w:rPr>
          <w:color w:val="000000"/>
          <w:sz w:val="26"/>
          <w:szCs w:val="26"/>
        </w:rPr>
        <w:t xml:space="preserve">2003</w:t>
      </w:r>
      <w:r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color w:val="000000"/>
          <w:sz w:val="26"/>
          <w:szCs w:val="26"/>
        </w:rPr>
        <w:t xml:space="preserve">оссийской </w:t>
      </w:r>
      <w:r>
        <w:rPr>
          <w:color w:val="000000"/>
          <w:sz w:val="26"/>
          <w:szCs w:val="26"/>
        </w:rPr>
        <w:t xml:space="preserve">Ф</w:t>
      </w:r>
      <w:r>
        <w:rPr>
          <w:color w:val="000000"/>
          <w:sz w:val="26"/>
          <w:szCs w:val="26"/>
        </w:rPr>
        <w:t xml:space="preserve">едерации</w:t>
      </w:r>
      <w:r>
        <w:rPr>
          <w:color w:val="000000"/>
          <w:sz w:val="26"/>
          <w:szCs w:val="26"/>
        </w:rPr>
        <w:t xml:space="preserve"> от 06</w:t>
      </w:r>
      <w:r>
        <w:rPr>
          <w:color w:val="000000"/>
          <w:sz w:val="26"/>
          <w:szCs w:val="26"/>
        </w:rPr>
        <w:t xml:space="preserve"> мая </w:t>
      </w:r>
      <w:r>
        <w:rPr>
          <w:color w:val="000000"/>
          <w:sz w:val="26"/>
          <w:szCs w:val="26"/>
        </w:rPr>
        <w:t xml:space="preserve">2016 </w:t>
      </w:r>
      <w:r>
        <w:rPr>
          <w:color w:val="000000"/>
          <w:sz w:val="26"/>
          <w:szCs w:val="26"/>
        </w:rPr>
        <w:t xml:space="preserve">года </w:t>
      </w:r>
      <w:r>
        <w:rPr>
          <w:color w:val="000000"/>
          <w:sz w:val="26"/>
          <w:szCs w:val="26"/>
        </w:rPr>
        <w:t xml:space="preserve">№ 393 «Об общих требованиях к порядку принятия решений о признании безнадежной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к взысканию задолженности по платежам в бюджеты бюджетной системы Российской Федерации»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в целях урегулирования задолженности юридических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физических лиц, упорядочения деятельности по признанию безнадежной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на которые не разграничена, земельных участков и муниципального имущества, </w:t>
      </w:r>
      <w:r>
        <w:rPr>
          <w:color w:val="000000"/>
          <w:sz w:val="26"/>
          <w:szCs w:val="26"/>
        </w:rPr>
        <w:t xml:space="preserve">находящихся в муниципальной </w:t>
      </w:r>
      <w:r>
        <w:rPr>
          <w:color w:val="000000"/>
          <w:sz w:val="26"/>
          <w:szCs w:val="26"/>
        </w:rPr>
        <w:t xml:space="preserve">собственности Грайворонского городского округа, </w:t>
      </w:r>
      <w:r>
        <w:rPr>
          <w:b/>
          <w:bCs/>
          <w:color w:val="000000"/>
          <w:spacing w:val="40"/>
          <w:sz w:val="26"/>
          <w:szCs w:val="26"/>
        </w:rPr>
        <w:t xml:space="preserve">постановля</w:t>
      </w:r>
      <w:r>
        <w:rPr>
          <w:b/>
          <w:bCs/>
          <w:color w:val="000000"/>
          <w:sz w:val="26"/>
          <w:szCs w:val="26"/>
        </w:rPr>
        <w:t xml:space="preserve">ю:</w:t>
      </w:r>
      <w:r>
        <w:rPr>
          <w:color w:val="000000"/>
          <w:sz w:val="26"/>
          <w:szCs w:val="26"/>
        </w:rPr>
        <w:t xml:space="preserve"> </w:t>
      </w:r>
      <w:r>
        <w:rPr>
          <w:b/>
          <w:bCs/>
          <w:sz w:val="26"/>
          <w:szCs w:val="26"/>
        </w:rPr>
      </w:r>
      <w:r/>
    </w:p>
    <w:p>
      <w:pPr>
        <w:pStyle w:val="954"/>
        <w:ind w:firstLine="705"/>
        <w:jc w:val="both"/>
        <w:spacing w:before="0" w:beforeAutospacing="0" w:after="0" w:afterAutospacing="0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</w:t>
        <w:tab/>
        <w:t xml:space="preserve">Утвердить Порядок признания безнадежной к взысканию</w:t>
      </w:r>
      <w:r>
        <w:rPr>
          <w:color w:val="000000"/>
          <w:sz w:val="26"/>
          <w:szCs w:val="26"/>
        </w:rPr>
        <w:t xml:space="preserve">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земельных участков и муниципального имущества, находящихся в муниципальной собственности </w:t>
      </w:r>
      <w:r>
        <w:rPr>
          <w:color w:val="000000"/>
          <w:sz w:val="26"/>
          <w:szCs w:val="26"/>
        </w:rPr>
        <w:t xml:space="preserve">Грайворонского </w:t>
      </w:r>
      <w:r>
        <w:rPr>
          <w:color w:val="000000"/>
          <w:sz w:val="26"/>
          <w:szCs w:val="26"/>
        </w:rPr>
        <w:t xml:space="preserve">городского округа (</w:t>
      </w:r>
      <w:r>
        <w:rPr>
          <w:color w:val="000000"/>
          <w:sz w:val="26"/>
          <w:szCs w:val="26"/>
        </w:rPr>
        <w:t xml:space="preserve">прилагается</w:t>
      </w:r>
      <w:r>
        <w:rPr>
          <w:color w:val="000000"/>
          <w:sz w:val="26"/>
          <w:szCs w:val="26"/>
        </w:rPr>
        <w:t xml:space="preserve">)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</w:r>
      <w:r/>
    </w:p>
    <w:p>
      <w:pPr>
        <w:pStyle w:val="943"/>
        <w:ind w:right="-1" w:firstLine="705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43"/>
        <w:ind w:firstLine="705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  <w:tab/>
      </w:r>
      <w:r>
        <w:rPr>
          <w:sz w:val="26"/>
          <w:szCs w:val="26"/>
        </w:rPr>
        <w:t xml:space="preserve">Контроль за исполнением постановления оставляю за собой.</w:t>
      </w:r>
      <w:r/>
    </w:p>
    <w:p>
      <w:pPr>
        <w:pStyle w:val="94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94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9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 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ем </w:t>
            </w: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  <w:r/>
          </w:p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«_27_»_июля_2022</w:t>
            </w:r>
            <w:r>
              <w:rPr>
                <w:b/>
                <w:bCs/>
                <w:sz w:val="28"/>
                <w:szCs w:val="28"/>
              </w:rPr>
              <w:t xml:space="preserve"> года №_522_ </w:t>
            </w:r>
            <w:r/>
          </w:p>
        </w:tc>
      </w:tr>
    </w:tbl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</w:t>
        <w:br/>
        <w:t xml:space="preserve">признания безнадежной к взысканию</w:t>
      </w:r>
      <w:r>
        <w:rPr>
          <w:b/>
          <w:color w:val="000000"/>
          <w:sz w:val="26"/>
          <w:szCs w:val="26"/>
        </w:rPr>
        <w:t xml:space="preserve">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земельных участков и муниципального имущества, находящихся в муниципальной собственности </w:t>
      </w:r>
      <w:r>
        <w:rPr>
          <w:b/>
          <w:color w:val="000000"/>
          <w:sz w:val="26"/>
          <w:szCs w:val="26"/>
        </w:rPr>
        <w:t xml:space="preserve">Грайворонского </w:t>
      </w:r>
      <w:r>
        <w:rPr>
          <w:b/>
          <w:color w:val="000000"/>
          <w:sz w:val="26"/>
          <w:szCs w:val="26"/>
        </w:rPr>
        <w:t xml:space="preserve">городского округа </w:t>
      </w:r>
      <w:r/>
    </w:p>
    <w:p>
      <w:pPr>
        <w:pStyle w:val="9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6"/>
        <w:numPr>
          <w:ilvl w:val="0"/>
          <w:numId w:val="48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Общие положения</w:t>
      </w:r>
      <w:r/>
    </w:p>
    <w:p>
      <w:pPr>
        <w:pStyle w:val="9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 признании безнадежной к взысканию </w:t>
      </w:r>
      <w:r>
        <w:rPr>
          <w:sz w:val="28"/>
          <w:szCs w:val="28"/>
        </w:rPr>
        <w:br/>
        <w:t xml:space="preserve">и списании </w:t>
      </w:r>
      <w:r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 xml:space="preserve">арендной плате, </w:t>
      </w:r>
      <w:r>
        <w:rPr>
          <w:rStyle w:val="988"/>
          <w:bCs/>
          <w:color w:val="000000"/>
          <w:sz w:val="28"/>
          <w:szCs w:val="28"/>
        </w:rPr>
        <w:t xml:space="preserve">начисленным пеням, штрафам </w:t>
      </w:r>
      <w:r>
        <w:rPr>
          <w:rStyle w:val="988"/>
          <w:bCs/>
          <w:color w:val="000000"/>
          <w:sz w:val="28"/>
          <w:szCs w:val="28"/>
        </w:rPr>
        <w:br/>
      </w:r>
      <w:r>
        <w:rPr>
          <w:rStyle w:val="988"/>
          <w:bCs/>
          <w:color w:val="000000"/>
          <w:sz w:val="28"/>
          <w:szCs w:val="28"/>
        </w:rPr>
        <w:t xml:space="preserve">за использование земельных участков </w:t>
      </w:r>
      <w:r>
        <w:rPr>
          <w:color w:val="000000"/>
          <w:sz w:val="28"/>
          <w:szCs w:val="28"/>
        </w:rPr>
        <w:t xml:space="preserve">государственная собственность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которые не разграничена, земельных участков и муниципального имущества,</w:t>
      </w:r>
      <w:r>
        <w:rPr>
          <w:rStyle w:val="988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находящихся в муниципальной собственности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Грайворонского </w:t>
      </w:r>
      <w:r>
        <w:rPr>
          <w:color w:val="000000"/>
          <w:sz w:val="28"/>
          <w:szCs w:val="28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(далее – Порядок)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правила и условия принятия решений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безнадежной к взысканию </w:t>
      </w:r>
      <w:r>
        <w:rPr>
          <w:sz w:val="28"/>
          <w:szCs w:val="28"/>
        </w:rPr>
        <w:t xml:space="preserve">и списанию </w:t>
      </w:r>
      <w:r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 xml:space="preserve">арендной плате, начисленным пеням, штрафам за использование земельных участков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государственная собственность на которые не разграничена, земельных участков и муниципального имущества, находящихся в муниципальной собственности.</w:t>
      </w:r>
      <w:r>
        <w:rPr>
          <w:sz w:val="28"/>
          <w:szCs w:val="28"/>
        </w:rPr>
      </w:r>
      <w:r/>
    </w:p>
    <w:p>
      <w:pPr>
        <w:pStyle w:val="966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6"/>
        <w:numPr>
          <w:ilvl w:val="0"/>
          <w:numId w:val="48"/>
        </w:numPr>
        <w:ind w:left="0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Основания и перечень документов, необходимых для при</w:t>
      </w:r>
      <w:r>
        <w:rPr>
          <w:b/>
          <w:color w:val="000000"/>
          <w:sz w:val="28"/>
          <w:szCs w:val="28"/>
        </w:rPr>
        <w:t xml:space="preserve">нятия </w:t>
      </w:r>
      <w:r>
        <w:rPr>
          <w:b/>
          <w:color w:val="000000"/>
          <w:sz w:val="28"/>
          <w:szCs w:val="28"/>
        </w:rPr>
        <w:t xml:space="preserve">решения о признании безнадежной к взысканию и списании з</w:t>
      </w:r>
      <w:r>
        <w:rPr>
          <w:b/>
          <w:color w:val="000000"/>
          <w:sz w:val="28"/>
          <w:szCs w:val="28"/>
        </w:rPr>
        <w:t xml:space="preserve">адолженности по арендной плате, начисленным пеням,</w:t>
      </w:r>
      <w:r>
        <w:rPr>
          <w:b/>
          <w:color w:val="000000"/>
          <w:sz w:val="28"/>
          <w:szCs w:val="28"/>
        </w:rPr>
        <w:t xml:space="preserve"> штрафам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за использование земельных участков, государственная собственность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на которые не разграничена, земельны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ов</w:t>
      </w:r>
      <w:r>
        <w:rPr>
          <w:b/>
          <w:color w:val="000000"/>
          <w:sz w:val="28"/>
          <w:szCs w:val="28"/>
        </w:rPr>
        <w:t xml:space="preserve">, находящи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ся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муниципальной собственности и муниципального имущества</w:t>
      </w:r>
      <w:r>
        <w:rPr>
          <w:b/>
          <w:color w:val="000000"/>
          <w:sz w:val="28"/>
          <w:szCs w:val="28"/>
        </w:rPr>
      </w:r>
      <w:r/>
    </w:p>
    <w:p>
      <w:pPr>
        <w:pStyle w:val="9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</w:r>
      <w:r>
        <w:rPr>
          <w:sz w:val="28"/>
          <w:szCs w:val="28"/>
        </w:rPr>
        <w:t xml:space="preserve">Платежи в бюджет городского округа, не уплаченные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установленный срок (задолженность по платежам в бюджет), признаются безнадежными к взысканию и подлежат списанию в случае: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смерти физического лица - плательщика платежей в бюджет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объявление его умершим в порядке, установленном гражданским процессуальным законодательством Российской Федерации;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признание банкротом индивидуального предпринимателя - плательщика платежей в бюджет в соответствии с Федеральным</w:t>
      </w:r>
      <w:r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26 октября 2002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127-ФЗ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несостоятельности (банкротстве)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части задолженности по платежам в бюджет, не погашенной по причине недостаточности имущества должника;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от 26 октября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2002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127-ФЗ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несостоятельности (банкротстве)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ликвидация организации - плательщика платежей в бюджет в части задолжен</w:t>
      </w:r>
      <w:r>
        <w:rPr>
          <w:sz w:val="28"/>
          <w:szCs w:val="28"/>
        </w:rPr>
        <w:t xml:space="preserve">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  <w:tab/>
      </w:r>
      <w:r>
        <w:rPr>
          <w:sz w:val="28"/>
          <w:szCs w:val="28"/>
        </w:rPr>
        <w:t xml:space="preserve">вынесения судебным приставом-исполнителем постановления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подпунктом 3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если с даты образования задолженности по платежам в бюджет прошло более пяти лет, в следующих случаях: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размер задолженности не превышает размера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должнику, установленного законодательством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банкротстве;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судом возвращено заявление о признании плательщика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 банкротом или прекращено производство по делу о банкротстве,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отсутствием средств, достаточных для возмещения судебных расходов на проведение процедур, применяемых в деле о банкротстве;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исключения юридического лица по решению регистрирующего органа из</w:t>
      </w:r>
      <w:r>
        <w:rPr>
          <w:sz w:val="28"/>
          <w:szCs w:val="28"/>
        </w:rPr>
        <w:t xml:space="preserve">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пунктом 3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br/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- в части задолженности по платежам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бюджет, не</w:t>
      </w:r>
      <w:r>
        <w:rPr>
          <w:sz w:val="28"/>
          <w:szCs w:val="28"/>
        </w:rPr>
        <w:t xml:space="preserve">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исключении юридического лица из единого государственного реестра юридических лиц в соответствии с Федеральным</w:t>
      </w:r>
      <w:r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8 августа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2001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129-ФЗ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государственной регистрации юридических лиц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предпринимателей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недействительным задолженность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платежам в бюджет, ранее признанная безнадежной к взысканию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настоящим подпунктом, подлежит восстановлению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(бухгалтерском) учете.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Подтверждающими документами для признания безнадежной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задолженности являются: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 </w:t>
      </w:r>
      <w:r>
        <w:rPr>
          <w:sz w:val="28"/>
          <w:szCs w:val="28"/>
        </w:rPr>
        <w:t xml:space="preserve">подпункте «а» пункта 2.1</w:t>
      </w:r>
      <w:r>
        <w:rPr>
          <w:sz w:val="28"/>
          <w:szCs w:val="28"/>
        </w:rPr>
        <w:t xml:space="preserve"> Порядка: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выписка из отчетности администратора доходов об учитываемых суммах задолженности по уплате платежей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умершим.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«б» пункта 2.1</w:t>
      </w:r>
      <w:r>
        <w:rPr>
          <w:sz w:val="28"/>
          <w:szCs w:val="28"/>
        </w:rPr>
        <w:t xml:space="preserve"> Порядка: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копия судебного акта о завершении конкурсного производства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завершении реализации имущества гражданина - плательщика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бюджет, являвшегося индивидуальным предпринимателем;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документ,</w:t>
      </w:r>
      <w:r>
        <w:rPr>
          <w:sz w:val="28"/>
          <w:szCs w:val="28"/>
        </w:rPr>
        <w:t xml:space="preserve">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несостоятельным (банкротом).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.3.</w:t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«в» пункта 2.1</w:t>
      </w:r>
      <w:r>
        <w:rPr>
          <w:sz w:val="28"/>
          <w:szCs w:val="28"/>
        </w:rPr>
        <w:t xml:space="preserve"> Порядка: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копия судебного акта о завершении конкурсного производства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завершении реализации имущества гражданина - плательщика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«г» пункта 2.1</w:t>
      </w:r>
      <w:r>
        <w:rPr>
          <w:sz w:val="28"/>
          <w:szCs w:val="28"/>
        </w:rPr>
        <w:t xml:space="preserve"> Порядка: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«д» пункта 2.1</w:t>
      </w:r>
      <w:r>
        <w:rPr>
          <w:sz w:val="28"/>
          <w:szCs w:val="28"/>
        </w:rPr>
        <w:t xml:space="preserve"> Порядка: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br/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заверенная копия судебного акта о возвращении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.6.</w:t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«е» пункта 2.1</w:t>
      </w:r>
      <w:r>
        <w:rPr>
          <w:sz w:val="28"/>
          <w:szCs w:val="28"/>
        </w:rPr>
        <w:t xml:space="preserve"> Порядка: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sz w:val="28"/>
          <w:szCs w:val="28"/>
        </w:rPr>
        <w:t xml:space="preserve">пунктом 3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br/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2.2.7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не распространяется на случаи ошибочного начисления арендной платы и неустойки за пользование нежилыми зданиями и земельными участками, находящимися в муниципальной собственности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государственная собственность на которые не разграничена.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numPr>
          <w:ilvl w:val="0"/>
          <w:numId w:val="48"/>
        </w:num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принятия решения о признании безнадежной к взысканию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списании задолженн</w:t>
      </w:r>
      <w:r>
        <w:rPr>
          <w:b/>
          <w:color w:val="000000"/>
          <w:sz w:val="28"/>
          <w:szCs w:val="28"/>
        </w:rPr>
        <w:t xml:space="preserve">ости по арендной плате,</w:t>
      </w:r>
      <w:r>
        <w:rPr>
          <w:b/>
          <w:color w:val="000000"/>
          <w:sz w:val="28"/>
          <w:szCs w:val="28"/>
        </w:rPr>
        <w:t xml:space="preserve"> начисленным пеням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штрафам </w:t>
      </w:r>
      <w:r>
        <w:rPr>
          <w:b/>
          <w:color w:val="000000"/>
          <w:sz w:val="28"/>
          <w:szCs w:val="28"/>
        </w:rPr>
        <w:t xml:space="preserve">за использование земельных участков, государственная собственность на которые не разграничена, земельны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ов</w:t>
      </w:r>
      <w:r>
        <w:rPr>
          <w:b/>
          <w:color w:val="000000"/>
          <w:sz w:val="28"/>
          <w:szCs w:val="28"/>
        </w:rPr>
        <w:t xml:space="preserve">, находящи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ся в муниципальной собственности и муниципального имущества</w:t>
      </w:r>
      <w:r>
        <w:rPr>
          <w:b/>
          <w:color w:val="000000"/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по арендной плате, начисленным пеням и штрафам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использование земельных участков и муниципального имущества принимается созданной постоянно действующей комиссией по поступлению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выбытию активов (далее – Комиссия). Комиссия проводит заседания по мере необходимости, при наличии оснований и документов, указанных в пунктах 2.1-2.2 настоящего Порядка.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оснований, указанных в подпунктах 2.1-2.2.6 настоящего Порядка управление муниципальной собственности и земельных ресурсов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формирует комплект необходимых документов и представляет их на рассмотрения Комиссии.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рассмотрения Комиссией представленных документов, подтверждающих наличие оснований для признания безнадежной к взысканию задолженности по платежам в бюджет, не должен превышать 10 рабочих дней со дня их получения председателем Комиссии.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рассмотрения вопроса о списании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арендной плате, начисленным пеням и штрафам за использование земельных участков и муниципального имущества Комиссия принимает решение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задолженности безнадежной к взысканию либо 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признании задолженности безнадежной к взысканию.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  <w:tab/>
      </w:r>
      <w:r>
        <w:rPr>
          <w:sz w:val="28"/>
          <w:szCs w:val="28"/>
        </w:rPr>
        <w:t xml:space="preserve">Основанием для отказа в признании задолженности безнадежной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является отсутствие оснований, указанных в пунктах 2.1-2.2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непредставление документов, подтверждающих признание безнадежной к взысканию задолженности, указанных в подпунктах 2.2.1-2.2.6.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По результа</w:t>
      </w:r>
      <w:r>
        <w:rPr>
          <w:sz w:val="28"/>
          <w:szCs w:val="28"/>
        </w:rPr>
        <w:t xml:space="preserve">там заседания Комиссии составляется протокол, который подписывается всеми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платежам в бюджет.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проекта решения Комиссии администраторы доходов бюджета в тече</w:t>
      </w:r>
      <w:r>
        <w:rPr>
          <w:sz w:val="28"/>
          <w:szCs w:val="28"/>
        </w:rPr>
        <w:t xml:space="preserve">ние 5 рабочих дней, с даты подготовки проекта решения Комиссии, принимают решение о признании безнадежной к взысканию задолженности по платежам в бюджет, которое оформляется актом, утверждается руководителем администратора доходов бюджета и направляется в </w:t>
      </w:r>
      <w:r>
        <w:rPr>
          <w:sz w:val="28"/>
          <w:szCs w:val="28"/>
        </w:rPr>
        <w:t xml:space="preserve">муниципальное казенное учреждение «Центр бухгалтерского учета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отчетности Грайворонского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списания задолженности.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В решении о признании безнадежной к взысканию и списании задолженности по арендным платежам, начисленным пеням, штрафам должны быть указаны: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полное наименование организации (фамилия, имя, отчество физического лица);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 платеже, по которому возникла задолженность;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код классификации доходов бюджетов Российской Федерации,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которому учитывается задолженность по платежам в муниципальный бюджет, его наименование;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сумма задолженности по платежам в муниципальный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сумма задолженности по пеням, штрафам по соответствующим платежам в муниципальный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дата принятия решения о признании безнадежной к взысканию задолженности по платежам в муниципальный бюджет;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подписи членов комиссии;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основание, в соответствии с которым принимается решение.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Копия акта о признании безнадежной к взысканию и списании  задолженности направляется комиссией в трехдневный срок адресатам.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отрицательном решении комиссии результат рассмотрения представленных документов отражается в акте о признании безнадежной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задолженности по платежам. В этом случае управление муниципальной собственности и земельных ресурсов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проводит дальнейшую работу по взысканию задолженности с арендатора, в соответствии с принятыми рекомендациями комиссии. Решение Комиссии об отказе в признании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платежам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по платежам в местный бюджет является основанием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списания задолженности и отметки во всех регистрах учета и отчетности.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separate"/>
    </w:r>
    <w:r>
      <w:rPr>
        <w:rStyle w:val="951"/>
      </w:rPr>
      <w:t xml:space="preserve">7</w: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3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3"/>
    <w:next w:val="943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3"/>
    <w:next w:val="943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3"/>
    <w:next w:val="9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3"/>
    <w:next w:val="943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3"/>
    <w:next w:val="943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3"/>
    <w:next w:val="943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3"/>
    <w:next w:val="943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3"/>
    <w:next w:val="943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3"/>
    <w:next w:val="943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next w:val="943"/>
    <w:link w:val="943"/>
    <w:rPr>
      <w:lang w:val="ru-RU" w:bidi="ar-SA" w:eastAsia="ru-RU"/>
    </w:rPr>
  </w:style>
  <w:style w:type="paragraph" w:styleId="944">
    <w:name w:val="Заголовок 1"/>
    <w:basedOn w:val="943"/>
    <w:next w:val="944"/>
    <w:link w:val="98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45">
    <w:name w:val="Основной шрифт абзаца"/>
    <w:next w:val="945"/>
    <w:link w:val="943"/>
    <w:semiHidden/>
  </w:style>
  <w:style w:type="table" w:styleId="946">
    <w:name w:val="Обычная таблица"/>
    <w:next w:val="946"/>
    <w:link w:val="943"/>
    <w:semiHidden/>
    <w:tblPr/>
  </w:style>
  <w:style w:type="numbering" w:styleId="947">
    <w:name w:val="Нет списка"/>
    <w:next w:val="947"/>
    <w:link w:val="943"/>
    <w:semiHidden/>
  </w:style>
  <w:style w:type="table" w:styleId="948">
    <w:name w:val="Сетка таблицы"/>
    <w:basedOn w:val="946"/>
    <w:next w:val="948"/>
    <w:link w:val="943"/>
    <w:tblPr/>
  </w:style>
  <w:style w:type="paragraph" w:styleId="949">
    <w:name w:val="Основной текст с отступом 2"/>
    <w:basedOn w:val="943"/>
    <w:next w:val="949"/>
    <w:link w:val="943"/>
    <w:pPr>
      <w:ind w:left="283"/>
      <w:spacing w:after="120" w:line="480" w:lineRule="auto"/>
    </w:pPr>
  </w:style>
  <w:style w:type="paragraph" w:styleId="950">
    <w:name w:val="Верхний колонтитул"/>
    <w:basedOn w:val="943"/>
    <w:next w:val="950"/>
    <w:link w:val="943"/>
    <w:pPr>
      <w:tabs>
        <w:tab w:val="center" w:pos="4677" w:leader="none"/>
        <w:tab w:val="right" w:pos="9355" w:leader="none"/>
      </w:tabs>
    </w:pPr>
  </w:style>
  <w:style w:type="character" w:styleId="951">
    <w:name w:val="Номер страницы"/>
    <w:basedOn w:val="945"/>
    <w:next w:val="951"/>
    <w:link w:val="943"/>
  </w:style>
  <w:style w:type="paragraph" w:styleId="952">
    <w:name w:val="Текст выноски"/>
    <w:basedOn w:val="943"/>
    <w:next w:val="952"/>
    <w:link w:val="943"/>
    <w:semiHidden/>
    <w:rPr>
      <w:rFonts w:ascii="Tahoma" w:hAnsi="Tahoma"/>
      <w:sz w:val="16"/>
      <w:szCs w:val="16"/>
    </w:rPr>
  </w:style>
  <w:style w:type="paragraph" w:styleId="953">
    <w:name w:val="Основной текст"/>
    <w:basedOn w:val="943"/>
    <w:next w:val="953"/>
    <w:link w:val="978"/>
    <w:pPr>
      <w:spacing w:after="120"/>
    </w:pPr>
  </w:style>
  <w:style w:type="paragraph" w:styleId="954">
    <w:name w:val="Обычный (веб)"/>
    <w:basedOn w:val="943"/>
    <w:next w:val="954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5">
    <w:name w:val="Основной текст с отступом Знак"/>
    <w:next w:val="955"/>
    <w:link w:val="956"/>
    <w:rPr>
      <w:sz w:val="24"/>
      <w:szCs w:val="24"/>
      <w:lang w:val="ru-RU" w:bidi="ar-SA" w:eastAsia="ru-RU"/>
    </w:rPr>
  </w:style>
  <w:style w:type="paragraph" w:styleId="956">
    <w:name w:val="Основной текст с отступом"/>
    <w:basedOn w:val="943"/>
    <w:next w:val="956"/>
    <w:link w:val="955"/>
    <w:pPr>
      <w:ind w:left="283"/>
      <w:spacing w:after="120"/>
    </w:pPr>
    <w:rPr>
      <w:sz w:val="24"/>
      <w:szCs w:val="24"/>
    </w:rPr>
  </w:style>
  <w:style w:type="paragraph" w:styleId="957">
    <w:name w:val="List Paragraph"/>
    <w:basedOn w:val="943"/>
    <w:next w:val="957"/>
    <w:link w:val="943"/>
    <w:pPr>
      <w:contextualSpacing/>
      <w:ind w:left="720"/>
    </w:pPr>
    <w:rPr>
      <w:rFonts w:eastAsia="Calibri"/>
      <w:sz w:val="24"/>
      <w:szCs w:val="24"/>
    </w:rPr>
  </w:style>
  <w:style w:type="paragraph" w:styleId="958">
    <w:name w:val="ConsPlusNormal"/>
    <w:next w:val="958"/>
    <w:link w:val="962"/>
    <w:pPr>
      <w:widowControl w:val="off"/>
    </w:pPr>
    <w:rPr>
      <w:rFonts w:ascii="Arial" w:hAnsi="Arial"/>
      <w:lang w:val="ru-RU" w:bidi="ar-SA" w:eastAsia="ru-RU"/>
    </w:rPr>
  </w:style>
  <w:style w:type="paragraph" w:styleId="959">
    <w:name w:val="Нижний колонтитул"/>
    <w:basedOn w:val="943"/>
    <w:next w:val="959"/>
    <w:link w:val="943"/>
    <w:pPr>
      <w:tabs>
        <w:tab w:val="center" w:pos="4677" w:leader="none"/>
        <w:tab w:val="right" w:pos="9355" w:leader="none"/>
      </w:tabs>
    </w:pPr>
  </w:style>
  <w:style w:type="character" w:styleId="960">
    <w:name w:val="Гиперссылка"/>
    <w:next w:val="960"/>
    <w:link w:val="943"/>
    <w:rPr>
      <w:color w:val="0000FF"/>
      <w:u w:val="single"/>
    </w:rPr>
  </w:style>
  <w:style w:type="character" w:styleId="961">
    <w:name w:val="Строгий"/>
    <w:next w:val="961"/>
    <w:link w:val="943"/>
    <w:rPr>
      <w:b/>
      <w:bCs/>
    </w:rPr>
  </w:style>
  <w:style w:type="character" w:styleId="962">
    <w:name w:val="ConsPlusNormal Знак"/>
    <w:next w:val="962"/>
    <w:link w:val="958"/>
    <w:rPr>
      <w:rFonts w:ascii="Arial" w:hAnsi="Arial"/>
      <w:lang w:val="ru-RU" w:bidi="ar-SA" w:eastAsia="ru-RU"/>
    </w:rPr>
  </w:style>
  <w:style w:type="paragraph" w:styleId="963">
    <w:name w:val="ConsPlusTitle"/>
    <w:next w:val="963"/>
    <w:link w:val="94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4">
    <w:name w:val="Основной текст 2"/>
    <w:basedOn w:val="943"/>
    <w:next w:val="964"/>
    <w:link w:val="965"/>
    <w:pPr>
      <w:spacing w:after="120" w:line="480" w:lineRule="auto"/>
    </w:pPr>
    <w:rPr>
      <w:rFonts w:eastAsia="Calibri"/>
      <w:sz w:val="24"/>
      <w:szCs w:val="24"/>
    </w:rPr>
  </w:style>
  <w:style w:type="character" w:styleId="965">
    <w:name w:val="Основной текст 2 Знак"/>
    <w:next w:val="965"/>
    <w:link w:val="964"/>
    <w:rPr>
      <w:rFonts w:eastAsia="Calibri"/>
      <w:sz w:val="24"/>
      <w:szCs w:val="24"/>
      <w:lang w:val="ru-RU" w:bidi="ar-SA" w:eastAsia="ru-RU"/>
    </w:rPr>
  </w:style>
  <w:style w:type="paragraph" w:styleId="966">
    <w:name w:val="Абзац списка"/>
    <w:basedOn w:val="943"/>
    <w:next w:val="966"/>
    <w:link w:val="943"/>
    <w:pPr>
      <w:contextualSpacing/>
      <w:ind w:left="720"/>
    </w:pPr>
    <w:rPr>
      <w:sz w:val="24"/>
      <w:szCs w:val="24"/>
    </w:rPr>
  </w:style>
  <w:style w:type="paragraph" w:styleId="967">
    <w:name w:val="western"/>
    <w:basedOn w:val="943"/>
    <w:next w:val="967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8">
    <w:name w:val="Основной текст с отступом 21"/>
    <w:basedOn w:val="943"/>
    <w:next w:val="968"/>
    <w:link w:val="943"/>
    <w:pPr>
      <w:ind w:left="720" w:hanging="851"/>
      <w:jc w:val="both"/>
    </w:pPr>
    <w:rPr>
      <w:sz w:val="28"/>
      <w:lang w:eastAsia="ar-SA"/>
    </w:rPr>
  </w:style>
  <w:style w:type="character" w:styleId="969">
    <w:name w:val="Body text_"/>
    <w:next w:val="969"/>
    <w:link w:val="970"/>
    <w:rPr>
      <w:sz w:val="25"/>
      <w:szCs w:val="25"/>
      <w:lang w:bidi="ar-SA"/>
    </w:rPr>
  </w:style>
  <w:style w:type="paragraph" w:styleId="970">
    <w:name w:val="Body text"/>
    <w:basedOn w:val="943"/>
    <w:next w:val="970"/>
    <w:link w:val="96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1">
    <w:name w:val="Название"/>
    <w:basedOn w:val="943"/>
    <w:next w:val="971"/>
    <w:link w:val="97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2">
    <w:name w:val="Font Style11"/>
    <w:next w:val="972"/>
    <w:link w:val="943"/>
    <w:rPr>
      <w:rFonts w:ascii="Times New Roman" w:hAnsi="Times New Roman"/>
      <w:sz w:val="24"/>
      <w:szCs w:val="24"/>
    </w:rPr>
  </w:style>
  <w:style w:type="paragraph" w:styleId="973">
    <w:name w:val="Основной текст 3"/>
    <w:basedOn w:val="943"/>
    <w:next w:val="973"/>
    <w:link w:val="943"/>
    <w:pPr>
      <w:spacing w:after="120"/>
    </w:pPr>
    <w:rPr>
      <w:sz w:val="16"/>
      <w:szCs w:val="16"/>
    </w:rPr>
  </w:style>
  <w:style w:type="paragraph" w:styleId="974">
    <w:name w:val="ConsPlusNonformat"/>
    <w:next w:val="974"/>
    <w:link w:val="94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5">
    <w:name w:val="Название Знак"/>
    <w:next w:val="975"/>
    <w:link w:val="971"/>
    <w:rPr>
      <w:b/>
      <w:bCs/>
      <w:sz w:val="40"/>
    </w:rPr>
  </w:style>
  <w:style w:type="character" w:styleId="976">
    <w:name w:val="Основной текст_"/>
    <w:next w:val="976"/>
    <w:link w:val="977"/>
    <w:rPr>
      <w:shd w:val="clear" w:color="auto" w:fill="ffffff"/>
    </w:rPr>
  </w:style>
  <w:style w:type="paragraph" w:styleId="977">
    <w:name w:val="Основной текст1"/>
    <w:basedOn w:val="943"/>
    <w:next w:val="977"/>
    <w:link w:val="97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8">
    <w:name w:val="Основной текст Знак"/>
    <w:next w:val="978"/>
    <w:link w:val="953"/>
  </w:style>
  <w:style w:type="paragraph" w:styleId="979">
    <w:name w:val="UserStyle_17"/>
    <w:basedOn w:val="943"/>
    <w:next w:val="971"/>
    <w:link w:val="94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8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3"/>
    <w:next w:val="980"/>
    <w:link w:val="943"/>
    <w:pPr>
      <w:spacing w:before="100" w:beforeAutospacing="1" w:after="100" w:afterAutospacing="1"/>
    </w:pPr>
    <w:rPr>
      <w:sz w:val="24"/>
      <w:szCs w:val="24"/>
    </w:rPr>
  </w:style>
  <w:style w:type="character" w:styleId="981">
    <w:name w:val="fontstyle01"/>
    <w:basedOn w:val="945"/>
    <w:next w:val="981"/>
    <w:link w:val="94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2">
    <w:name w:val="Основной текст 21"/>
    <w:basedOn w:val="943"/>
    <w:next w:val="982"/>
    <w:link w:val="94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3">
    <w:name w:val="Основной текст (4)"/>
    <w:next w:val="983"/>
    <w:link w:val="943"/>
    <w:rPr>
      <w:b/>
      <w:bCs/>
      <w:sz w:val="26"/>
      <w:szCs w:val="26"/>
      <w:lang w:bidi="ar-SA"/>
    </w:rPr>
  </w:style>
  <w:style w:type="character" w:styleId="984">
    <w:name w:val="Основной текст (2)_"/>
    <w:basedOn w:val="945"/>
    <w:next w:val="984"/>
    <w:link w:val="985"/>
    <w:rPr>
      <w:b/>
      <w:bCs/>
      <w:sz w:val="25"/>
      <w:szCs w:val="25"/>
      <w:shd w:val="clear" w:color="auto" w:fill="ffffff"/>
    </w:rPr>
  </w:style>
  <w:style w:type="paragraph" w:styleId="985">
    <w:name w:val="Основной текст (2)"/>
    <w:basedOn w:val="943"/>
    <w:next w:val="985"/>
    <w:link w:val="98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6">
    <w:name w:val="Обычный + По ширине"/>
    <w:basedOn w:val="943"/>
    <w:next w:val="986"/>
    <w:link w:val="943"/>
    <w:pPr>
      <w:jc w:val="both"/>
    </w:pPr>
    <w:rPr>
      <w:sz w:val="28"/>
      <w:szCs w:val="24"/>
    </w:rPr>
  </w:style>
  <w:style w:type="character" w:styleId="987">
    <w:name w:val="Заголовок 1 Знак"/>
    <w:basedOn w:val="945"/>
    <w:next w:val="987"/>
    <w:link w:val="944"/>
    <w:rPr>
      <w:b/>
      <w:bCs/>
      <w:sz w:val="48"/>
      <w:szCs w:val="48"/>
    </w:rPr>
  </w:style>
  <w:style w:type="character" w:styleId="988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45"/>
    <w:next w:val="988"/>
    <w:link w:val="943"/>
  </w:style>
  <w:style w:type="character" w:styleId="989" w:default="1">
    <w:name w:val="Default Paragraph Font"/>
    <w:uiPriority w:val="1"/>
    <w:semiHidden/>
    <w:unhideWhenUsed/>
  </w:style>
  <w:style w:type="numbering" w:styleId="990" w:default="1">
    <w:name w:val="No List"/>
    <w:uiPriority w:val="99"/>
    <w:semiHidden/>
    <w:unhideWhenUsed/>
  </w:style>
  <w:style w:type="table" w:styleId="9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2022-07-27T13:20:17Z</dcterms:modified>
</cp:coreProperties>
</file>