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9"/>
        <w:ind w:left="783" w:right="0"/>
        <w:jc w:val="both"/>
        <w:rPr>
          <w:rFonts w:eastAsia="Times New Roman"/>
          <w:sz w:val="26"/>
          <w:szCs w:val="26"/>
          <w:highlight w:val="none"/>
        </w:rPr>
      </w:pPr>
      <w:r>
        <w:rPr>
          <w:rFonts w:eastAsia="Times New Roman"/>
          <w:sz w:val="26"/>
          <w:szCs w:val="26"/>
          <w:highlight w:val="none"/>
        </w:rPr>
      </w:r>
      <w:r>
        <w:rPr>
          <w:rFonts w:eastAsia="Times New Roman"/>
          <w:sz w:val="26"/>
          <w:szCs w:val="26"/>
          <w:highlight w:val="none"/>
        </w:rPr>
      </w:r>
    </w:p>
    <w:p>
      <w:pPr>
        <w:pStyle w:val="709"/>
        <w:ind w:left="783" w:right="0"/>
        <w:jc w:val="both"/>
        <w:rPr>
          <w:rFonts w:eastAsia="Times New Roman"/>
          <w:sz w:val="26"/>
          <w:szCs w:val="26"/>
          <w:highlight w:val="none"/>
        </w:rPr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4762833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6" cy="68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eastAsia="Times New Roman"/>
          <w:sz w:val="26"/>
          <w:szCs w:val="26"/>
          <w:highlight w:val="none"/>
        </w:rPr>
      </w:r>
      <w:r/>
    </w:p>
    <w:p>
      <w:pPr>
        <w:pStyle w:val="697"/>
        <w:jc w:val="center"/>
      </w:pPr>
      <w:r/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97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697"/>
        <w:jc w:val="center"/>
      </w:pPr>
      <w:r>
        <w:rPr>
          <w:rFonts w:ascii="Arial" w:hAnsi="Arial" w:cs="Arial"/>
        </w:rPr>
      </w:r>
      <w:r/>
      <w:r/>
    </w:p>
    <w:p>
      <w:pPr>
        <w:pStyle w:val="697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697"/>
      </w:pPr>
      <w:r>
        <w:rPr>
          <w:rFonts w:ascii="Arial" w:hAnsi="Arial" w:cs="Arial"/>
          <w:sz w:val="24"/>
          <w:szCs w:val="24"/>
        </w:rPr>
      </w:r>
      <w:r/>
      <w:r/>
    </w:p>
    <w:p>
      <w:pPr>
        <w:pStyle w:val="697"/>
        <w:jc w:val="both"/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28 июля 2026  года</w:t>
        <w:tab/>
        <w:tab/>
        <w:tab/>
        <w:tab/>
        <w:tab/>
        <w:tab/>
        <w:tab/>
        <w:tab/>
        <w:tab/>
        <w:t xml:space="preserve">№ 401</w:t>
      </w:r>
      <w:r>
        <w:rPr>
          <w:rFonts w:eastAsia="Times New Roman"/>
          <w:sz w:val="26"/>
          <w:szCs w:val="26"/>
          <w:highlight w:val="none"/>
        </w:rPr>
      </w:r>
      <w:r/>
    </w:p>
    <w:p>
      <w:pPr>
        <w:pStyle w:val="709"/>
        <w:ind w:left="783"/>
        <w:jc w:val="both"/>
        <w:rPr>
          <w:rFonts w:eastAsia="Times New Roman"/>
          <w:highlight w:val="none"/>
        </w:rPr>
      </w:pPr>
      <w:r>
        <w:rPr>
          <w:rFonts w:eastAsia="Times New Roman"/>
          <w:sz w:val="26"/>
          <w:szCs w:val="26"/>
        </w:rPr>
      </w:r>
      <w:r>
        <w:rPr>
          <w:rFonts w:eastAsia="Times New Roman"/>
          <w:sz w:val="26"/>
          <w:szCs w:val="26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7371" w:type="dxa"/>
        <w:tblInd w:w="1242" w:type="dxa"/>
        <w:tblLook w:val="01E0" w:firstRow="1" w:lastRow="1" w:firstColumn="1" w:lastColumn="1" w:noHBand="0" w:noVBand="0"/>
      </w:tblPr>
      <w:tblGrid>
        <w:gridCol w:w="7371"/>
      </w:tblGrid>
      <w:tr>
        <w:trPr>
          <w:trHeight w:val="701"/>
        </w:trPr>
        <w:tc>
          <w:tcPr>
            <w:tcW w:w="7371" w:type="dxa"/>
            <w:textDirection w:val="lrTb"/>
            <w:noWrap w:val="false"/>
          </w:tcPr>
          <w:p>
            <w:pPr>
              <w:ind w:left="-111" w:right="-114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О внесении изменений в постановление </w:t>
            </w:r>
            <w:r/>
          </w:p>
          <w:p>
            <w:pPr>
              <w:ind w:left="-111" w:right="-114"/>
              <w:jc w:val="center"/>
              <w:rPr>
                <w:b/>
                <w:sz w:val="27"/>
                <w:szCs w:val="27"/>
                <w:lang w:eastAsia="zh-CN"/>
              </w:rPr>
            </w:pPr>
            <w:r>
              <w:rPr>
                <w:b/>
                <w:sz w:val="27"/>
                <w:szCs w:val="27"/>
              </w:rPr>
              <w:t xml:space="preserve">администрации Грайворонского муниципального округа Белгородской области</w:t>
            </w:r>
            <w:r>
              <w:rPr>
                <w:b/>
                <w:sz w:val="27"/>
                <w:szCs w:val="27"/>
              </w:rPr>
              <w:br/>
              <w:t xml:space="preserve">от 07 октября 2025 года №662</w:t>
            </w:r>
            <w:r/>
          </w:p>
        </w:tc>
      </w:tr>
    </w:tbl>
    <w:p>
      <w:pPr>
        <w:ind w:firstLine="720"/>
        <w:tabs>
          <w:tab w:val="left" w:pos="1080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20"/>
        <w:tabs>
          <w:tab w:val="left" w:pos="1080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20"/>
        <w:tabs>
          <w:tab w:val="left" w:pos="1080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09"/>
        <w:jc w:val="both"/>
        <w:tabs>
          <w:tab w:val="left" w:pos="1134" w:leader="none"/>
        </w:tabs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В целях приведения правовых актов администрации Грайворонского муниципального округа Белгородской области в соответствие с действующим законодательством </w:t>
      </w:r>
      <w:r>
        <w:rPr>
          <w:b/>
          <w:bCs/>
          <w:sz w:val="27"/>
          <w:szCs w:val="27"/>
        </w:rPr>
        <w:t xml:space="preserve">п о с т а н о в л я ю:</w:t>
      </w:r>
      <w:r/>
    </w:p>
    <w:p>
      <w:pPr>
        <w:ind w:firstLine="709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1.</w:t>
      </w:r>
      <w:r>
        <w:rPr>
          <w:sz w:val="27"/>
          <w:szCs w:val="27"/>
        </w:rPr>
        <w:tab/>
      </w:r>
      <w:r>
        <w:rPr>
          <w:sz w:val="27"/>
          <w:szCs w:val="27"/>
        </w:rPr>
        <w:t xml:space="preserve">Внести следующие изменения в постановление администрации Грайворонского муниципального округа Белгородской области от </w:t>
      </w:r>
      <w:r>
        <w:rPr>
          <w:sz w:val="27"/>
          <w:szCs w:val="27"/>
        </w:rPr>
        <w:t xml:space="preserve">0</w:t>
      </w:r>
      <w:r>
        <w:rPr>
          <w:sz w:val="27"/>
          <w:szCs w:val="27"/>
        </w:rPr>
        <w:t xml:space="preserve">7 октября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2025 года №662 «О проведении капитального ремонта общего имущества многоквартирных домов на территории Грайворонского муниципального округа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в 2026 году, собственники помещений в которых не приняли решение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о проведении капитального ремонта общего имущества в соответствии с адресной программой проведения капитального ремонта общего имущества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в многоквартирных домах в Белгородской области на 2022-2051 годы»:</w:t>
      </w:r>
      <w:r/>
    </w:p>
    <w:p>
      <w:pPr>
        <w:ind w:firstLine="709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Расчет предельной стоимости работ по капитальному ремонту многоквартирного дома в городе Грайвороне по ул. Кирова, д.36 (материал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стен</w:t>
      </w:r>
      <w:r>
        <w:rPr>
          <w:sz w:val="27"/>
          <w:szCs w:val="27"/>
        </w:rPr>
        <w:t xml:space="preserve"> </w:t>
      </w:r>
      <w:bookmarkStart w:id="0" w:name="_GoBack"/>
      <w:r/>
      <w:bookmarkEnd w:id="0"/>
      <w:r>
        <w:rPr>
          <w:sz w:val="27"/>
          <w:szCs w:val="27"/>
        </w:rPr>
        <w:t xml:space="preserve">- панельный, подъездность - 4,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этажность - 3), </w:t>
      </w:r>
      <w:r>
        <w:rPr>
          <w:sz w:val="27"/>
          <w:szCs w:val="27"/>
        </w:rPr>
        <w:t xml:space="preserve">указанный</w:t>
      </w:r>
      <w:r>
        <w:rPr>
          <w:sz w:val="27"/>
          <w:szCs w:val="27"/>
        </w:rPr>
        <w:t xml:space="preserve"> в пункте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1 вышеназванного постановления, изложить в редакции согласно приложению </w:t>
      </w:r>
      <w:r>
        <w:rPr>
          <w:sz w:val="27"/>
          <w:szCs w:val="27"/>
        </w:rPr>
        <w:br/>
      </w:r>
      <w:r>
        <w:rPr>
          <w:sz w:val="27"/>
          <w:szCs w:val="27"/>
        </w:rPr>
        <w:t xml:space="preserve">к настоящему постановлению.</w:t>
      </w:r>
      <w:r/>
    </w:p>
    <w:p>
      <w:pPr>
        <w:ind w:firstLine="709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2.</w:t>
      </w:r>
      <w:r>
        <w:rPr>
          <w:sz w:val="27"/>
          <w:szCs w:val="27"/>
        </w:rPr>
        <w:tab/>
      </w:r>
      <w:r>
        <w:rPr>
          <w:sz w:val="27"/>
          <w:szCs w:val="27"/>
        </w:rPr>
        <w:t xml:space="preserve">Опубликовать настоящее постановление в газете «Родной край», сетевом издании «Родной край 31» (rodkray31.ru), разместить на официальном сайте органов местного самоуправления Грайворонского муниципального округа (</w:t>
      </w:r>
      <w:r>
        <w:rPr>
          <w:sz w:val="27"/>
          <w:szCs w:val="27"/>
          <w:lang w:val="en-US"/>
        </w:rPr>
        <w:t xml:space="preserve">grajvoron</w:t>
      </w:r>
      <w:r>
        <w:rPr>
          <w:sz w:val="27"/>
          <w:szCs w:val="27"/>
        </w:rPr>
        <w:t xml:space="preserve">-</w:t>
      </w:r>
      <w:r>
        <w:rPr>
          <w:sz w:val="27"/>
          <w:szCs w:val="27"/>
          <w:lang w:val="en-US"/>
        </w:rPr>
        <w:t xml:space="preserve">r</w:t>
      </w:r>
      <w:r>
        <w:rPr>
          <w:sz w:val="27"/>
          <w:szCs w:val="27"/>
        </w:rPr>
        <w:t xml:space="preserve">31.</w:t>
      </w:r>
      <w:r>
        <w:rPr>
          <w:sz w:val="27"/>
          <w:szCs w:val="27"/>
          <w:lang w:val="en-US"/>
        </w:rPr>
        <w:t xml:space="preserve">gosweb</w:t>
      </w:r>
      <w:r>
        <w:rPr>
          <w:sz w:val="27"/>
          <w:szCs w:val="27"/>
        </w:rPr>
        <w:t xml:space="preserve">.</w:t>
      </w:r>
      <w:r>
        <w:rPr>
          <w:sz w:val="27"/>
          <w:szCs w:val="27"/>
          <w:lang w:val="en-US"/>
        </w:rPr>
        <w:t xml:space="preserve">gosuslugi</w:t>
      </w:r>
      <w:r>
        <w:rPr>
          <w:sz w:val="27"/>
          <w:szCs w:val="27"/>
        </w:rPr>
        <w:t xml:space="preserve">.</w:t>
      </w:r>
      <w:r>
        <w:rPr>
          <w:sz w:val="27"/>
          <w:szCs w:val="27"/>
          <w:lang w:val="en-US"/>
        </w:rPr>
        <w:t xml:space="preserve">ru</w:t>
      </w:r>
      <w:r>
        <w:rPr>
          <w:sz w:val="27"/>
          <w:szCs w:val="27"/>
        </w:rPr>
        <w:t xml:space="preserve">).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3.</w:t>
      </w: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 xml:space="preserve">Контроль за исполнением постановления возложить на исполняющего обязанности заместителя главы администрации муниципального округа - начальника Управления ЖКХ, транспорта и ТЭК администрации Грайворонского муниципального округа А.В. Казанцева.</w:t>
      </w:r>
      <w:r/>
    </w:p>
    <w:p>
      <w:pPr>
        <w:ind w:firstLine="709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4.</w:t>
      </w:r>
      <w:r>
        <w:rPr>
          <w:sz w:val="27"/>
          <w:szCs w:val="27"/>
        </w:rPr>
        <w:tab/>
        <w:t xml:space="preserve">Настоящее постановление вступает в силу со дня его официального опубликования.</w:t>
      </w:r>
      <w:r/>
    </w:p>
    <w:p>
      <w:pPr>
        <w:ind w:firstLine="709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20"/>
        <w:jc w:val="both"/>
      </w:pPr>
      <w:r/>
      <w:r/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926"/>
        <w:gridCol w:w="4713"/>
      </w:tblGrid>
      <w:tr>
        <w:trPr/>
        <w:tc>
          <w:tcPr>
            <w:tcW w:w="4926" w:type="dxa"/>
            <w:textDirection w:val="lrTb"/>
            <w:noWrap w:val="false"/>
          </w:tcPr>
          <w:p>
            <w:pPr>
              <w:ind w:left="-109"/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Глава администрации </w:t>
            </w:r>
            <w:r/>
          </w:p>
        </w:tc>
        <w:tc>
          <w:tcPr>
            <w:tcW w:w="4713" w:type="dxa"/>
            <w:textDirection w:val="lrTb"/>
            <w:noWrap w:val="false"/>
          </w:tcPr>
          <w:p>
            <w:pPr>
              <w:ind w:right="-103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Д.А. Панков</w:t>
            </w:r>
            <w:r/>
          </w:p>
        </w:tc>
      </w:tr>
    </w:tbl>
    <w:p>
      <w:pPr>
        <w:ind w:firstLine="720"/>
        <w:jc w:val="both"/>
        <w:tabs>
          <w:tab w:val="left" w:pos="1134" w:leader="none"/>
        </w:tabs>
        <w:rPr>
          <w:sz w:val="2"/>
          <w:szCs w:val="2"/>
        </w:rPr>
      </w:pPr>
      <w:r>
        <w:rPr>
          <w:sz w:val="2"/>
          <w:szCs w:val="2"/>
        </w:rPr>
      </w:r>
      <w:r/>
    </w:p>
    <w:p>
      <w:pPr>
        <w:rPr>
          <w:sz w:val="2"/>
          <w:szCs w:val="2"/>
        </w:rPr>
      </w:pPr>
      <w:r>
        <w:br w:type="page" w:clear="all"/>
      </w:r>
      <w:r/>
    </w:p>
    <w:p>
      <w:pPr>
        <w:ind w:right="21"/>
        <w:jc w:val="both"/>
        <w:rPr>
          <w:b/>
          <w:sz w:val="27"/>
          <w:szCs w:val="27"/>
        </w:r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1134" w:right="567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b/>
          <w:sz w:val="27"/>
          <w:szCs w:val="27"/>
        </w:rPr>
      </w:r>
      <w:r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  <w:gridCol w:w="5529"/>
      </w:tblGrid>
      <w:tr>
        <w:trPr/>
        <w:tc>
          <w:tcPr>
            <w:shd w:val="clear" w:color="auto" w:fill="auto"/>
            <w:tcW w:w="9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pPr>
              <w:ind w:left="-107" w:right="-114"/>
              <w:jc w:val="center"/>
              <w:widowControl w:val="off"/>
              <w:rPr>
                <w:b/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Приложение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/>
          </w:p>
          <w:p>
            <w:pPr>
              <w:ind w:left="-107" w:right="-114"/>
              <w:jc w:val="center"/>
              <w:widowControl w:val="off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к постановлению администрации</w:t>
            </w:r>
            <w:r/>
          </w:p>
          <w:p>
            <w:pPr>
              <w:ind w:left="-107" w:right="-114"/>
              <w:jc w:val="center"/>
              <w:widowControl w:val="off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Грайворонского муниципального</w:t>
            </w:r>
            <w:r>
              <w:rPr>
                <w:b/>
                <w:bCs/>
                <w:sz w:val="27"/>
                <w:szCs w:val="27"/>
              </w:rPr>
              <w:t xml:space="preserve"> округа</w:t>
            </w:r>
            <w:r/>
          </w:p>
          <w:p>
            <w:pPr>
              <w:ind w:left="-107" w:right="-114"/>
              <w:jc w:val="center"/>
              <w:widowControl w:val="off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Белгородской области</w:t>
            </w:r>
            <w:r/>
          </w:p>
          <w:p>
            <w:pPr>
              <w:ind w:left="-107" w:right="-114"/>
              <w:jc w:val="center"/>
              <w:widowControl w:val="off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от </w:t>
            </w:r>
            <w:r>
              <w:rPr>
                <w:b/>
                <w:bCs/>
                <w:sz w:val="27"/>
                <w:szCs w:val="27"/>
              </w:rPr>
              <w:t xml:space="preserve">« 28 »    июля   2026</w:t>
            </w:r>
            <w:r>
              <w:rPr>
                <w:b/>
                <w:bCs/>
                <w:sz w:val="27"/>
                <w:szCs w:val="27"/>
              </w:rPr>
              <w:t xml:space="preserve"> года № 401</w:t>
            </w:r>
            <w:r/>
          </w:p>
        </w:tc>
      </w:tr>
    </w:tbl>
    <w:p>
      <w:pPr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</w:r>
      <w:r/>
    </w:p>
    <w:p>
      <w:pPr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</w:r>
      <w:r/>
    </w:p>
    <w:p>
      <w:pPr>
        <w:jc w:val="center"/>
        <w:spacing w:before="10" w:after="10" w:line="21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РАСЧЕТ </w:t>
      </w:r>
      <w:r>
        <w:rPr>
          <w:b/>
          <w:bCs/>
          <w:color w:val="000000"/>
          <w:sz w:val="27"/>
          <w:szCs w:val="27"/>
        </w:rPr>
        <w:br/>
        <w:t xml:space="preserve">предельной стоимости работ по капитальному ремонту </w:t>
      </w:r>
      <w:r>
        <w:rPr>
          <w:b/>
          <w:bCs/>
          <w:color w:val="000000"/>
          <w:sz w:val="27"/>
          <w:szCs w:val="27"/>
        </w:rPr>
        <w:br/>
        <w:t xml:space="preserve">многоквартирного дома № 36 по ул. Кирова, г. Грайворон </w:t>
      </w:r>
      <w:r/>
    </w:p>
    <w:p>
      <w:pPr>
        <w:jc w:val="center"/>
        <w:spacing w:before="10" w:after="10" w:line="21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(материал стен - панельный, подъездность 4, этажность 3)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145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4536"/>
        <w:gridCol w:w="1985"/>
        <w:gridCol w:w="3118"/>
        <w:gridCol w:w="1985"/>
        <w:gridCol w:w="2240"/>
      </w:tblGrid>
      <w:tr>
        <w:trPr>
          <w:trHeight w:val="1024"/>
          <w:tblHeader/>
        </w:trPr>
        <w:tc>
          <w:tcPr>
            <w:shd w:val="clear" w:color="auto" w:fill="auto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br/>
              <w:t xml:space="preserve">п/п</w:t>
            </w:r>
            <w:r/>
          </w:p>
        </w:tc>
        <w:tc>
          <w:tcPr>
            <w:shd w:val="clear" w:color="auto" w:fill="auto"/>
            <w:tcW w:w="4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работ</w:t>
            </w:r>
            <w:r/>
          </w:p>
        </w:tc>
        <w:tc>
          <w:tcPr>
            <w:shd w:val="clear" w:color="auto" w:fill="auto"/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Ед. измерения</w:t>
            </w:r>
            <w:r/>
          </w:p>
        </w:tc>
        <w:tc>
          <w:tcPr>
            <w:shd w:val="clear" w:color="auto" w:fill="auto"/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МКД*, </w:t>
            </w:r>
            <w:r/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материал стен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</w:t>
            </w:r>
            <w:r>
              <w:rPr>
                <w:b/>
                <w:bCs/>
                <w:color w:val="000000"/>
              </w:rPr>
              <w:t xml:space="preserve"> кирпич </w:t>
            </w:r>
            <w:r>
              <w:rPr>
                <w:b/>
                <w:bCs/>
                <w:color w:val="000000"/>
              </w:rPr>
              <w:br/>
              <w:t xml:space="preserve">и шлакоблок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Объем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Предельная стоимость</w:t>
            </w:r>
            <w:r/>
          </w:p>
        </w:tc>
      </w:tr>
      <w:tr>
        <w:trPr>
          <w:trHeight w:val="611"/>
          <w:tblHeader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/>
          </w:p>
        </w:tc>
        <w:tc>
          <w:tcPr>
            <w:tcW w:w="4536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/>
          </w:p>
        </w:tc>
        <w:tc>
          <w:tcPr>
            <w:shd w:val="clear" w:color="auto" w:fill="auto"/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 этажей и менее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</w:t>
            </w:r>
            <w:r/>
          </w:p>
        </w:tc>
        <w:tc>
          <w:tcPr>
            <w:gridSpan w:val="5"/>
            <w:shd w:val="clear" w:color="auto" w:fill="auto"/>
            <w:tcW w:w="1386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Ремонт фасада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1.4.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Ремонт межпанельных швов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м.п. шва</w:t>
            </w:r>
            <w:r/>
          </w:p>
        </w:tc>
        <w:tc>
          <w:tcPr>
            <w:shd w:val="clear" w:color="auto" w:fill="auto"/>
            <w:tcW w:w="31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2 076,022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15,00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31 140,33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gridSpan w:val="4"/>
            <w:shd w:val="clear" w:color="auto" w:fill="auto"/>
            <w:tcW w:w="11624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Итого по разделу: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31 140,33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4.</w:t>
            </w:r>
            <w:r/>
          </w:p>
        </w:tc>
        <w:tc>
          <w:tcPr>
            <w:gridSpan w:val="5"/>
            <w:shd w:val="clear" w:color="auto" w:fill="auto"/>
            <w:tcW w:w="1386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Ремонт крыши</w:t>
            </w:r>
            <w:r/>
          </w:p>
        </w:tc>
      </w:tr>
      <w:tr>
        <w:trPr>
          <w:trHeight w:val="649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4.8.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Ремонт кровли из металлочерепицы </w:t>
            </w:r>
            <w:r/>
          </w:p>
          <w:p>
            <w:pPr>
              <w:jc w:val="center"/>
            </w:pPr>
            <w:r>
              <w:t xml:space="preserve">с устройством водосточной системы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кв. м. кровли</w:t>
            </w:r>
            <w:r/>
          </w:p>
        </w:tc>
        <w:tc>
          <w:tcPr>
            <w:shd w:val="clear" w:color="auto" w:fill="auto"/>
            <w:tcW w:w="31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6 418,62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1 013,00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6 502 065,67</w:t>
            </w:r>
            <w:r/>
          </w:p>
        </w:tc>
      </w:tr>
      <w:tr>
        <w:trPr>
          <w:trHeight w:val="417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 xml:space="preserve"> </w:t>
            </w:r>
            <w:r/>
          </w:p>
        </w:tc>
        <w:tc>
          <w:tcPr>
            <w:gridSpan w:val="4"/>
            <w:shd w:val="clear" w:color="auto" w:fill="auto"/>
            <w:tcW w:w="11624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 по разделу: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t xml:space="preserve">6 525 610,00</w:t>
            </w:r>
            <w:r/>
          </w:p>
        </w:tc>
      </w:tr>
      <w:tr>
        <w:trPr>
          <w:trHeight w:val="365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</w:r>
            <w:r/>
          </w:p>
        </w:tc>
        <w:tc>
          <w:tcPr>
            <w:gridSpan w:val="4"/>
            <w:shd w:val="clear" w:color="auto" w:fill="auto"/>
            <w:tcW w:w="11624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 по строительно-монтажным</w:t>
            </w:r>
            <w:r/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работам: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6 533 206,00</w:t>
            </w:r>
            <w:r/>
          </w:p>
        </w:tc>
      </w:tr>
      <w:tr>
        <w:trPr>
          <w:trHeight w:val="365"/>
        </w:trPr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</w:r>
            <w:r/>
          </w:p>
        </w:tc>
        <w:tc>
          <w:tcPr>
            <w:gridSpan w:val="4"/>
            <w:shd w:val="clear" w:color="auto" w:fill="auto"/>
            <w:tcW w:w="11624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со строительным контролем</w:t>
            </w:r>
            <w:r/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(2,14% сметной стоимости работ):</w:t>
            </w:r>
            <w:r/>
          </w:p>
        </w:tc>
        <w:tc>
          <w:tcPr>
            <w:shd w:val="clear" w:color="auto" w:fill="auto"/>
            <w:tcW w:w="22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6 673 016,61</w:t>
            </w:r>
            <w:r/>
          </w:p>
        </w:tc>
      </w:tr>
    </w:tbl>
    <w:p>
      <w:pPr>
        <w:rPr>
          <w:b/>
          <w:sz w:val="2"/>
          <w:szCs w:val="2"/>
        </w:rPr>
      </w:pPr>
      <w:r>
        <w:rPr>
          <w:b/>
          <w:sz w:val="2"/>
          <w:szCs w:val="2"/>
        </w:rPr>
      </w:r>
      <w:r/>
    </w:p>
    <w:sectPr>
      <w:headerReference w:type="default" r:id="rId11"/>
      <w:footnotePr/>
      <w:endnotePr/>
      <w:type w:val="nextPage"/>
      <w:pgSz w:w="16838" w:h="11906" w:orient="landscape"/>
      <w:pgMar w:top="1701" w:right="1134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-New-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DL">
    <w:panose1 w:val="02000603000000000000"/>
  </w:font>
  <w:font w:name="Tahoma">
    <w:panose1 w:val="020B060403050404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26003955"/>
      <w:docPartObj>
        <w:docPartGallery w:val="Page Numbers (Top of Page)"/>
        <w:docPartUnique w:val="true"/>
      </w:docPartObj>
      <w:rPr/>
    </w:sdtPr>
    <w:sdtContent>
      <w:p>
        <w:pPr>
          <w:pStyle w:val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11983656"/>
      <w:docPartObj>
        <w:docPartGallery w:val="Page Numbers (Top of Page)"/>
        <w:docPartUnique w:val="true"/>
      </w:docPartObj>
      <w:rPr/>
    </w:sdtPr>
    <w:sdtContent>
      <w:p>
        <w:pPr>
          <w:pStyle w:val="7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5" w:hanging="105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3525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4575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598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739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8445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985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0905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9"/>
    <w:link w:val="69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7"/>
    <w:next w:val="69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7"/>
    <w:next w:val="69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7"/>
    <w:next w:val="69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7"/>
    <w:next w:val="69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7"/>
    <w:next w:val="69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7"/>
    <w:next w:val="69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97"/>
    <w:next w:val="69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9"/>
    <w:link w:val="34"/>
    <w:uiPriority w:val="10"/>
    <w:rPr>
      <w:sz w:val="48"/>
      <w:szCs w:val="48"/>
    </w:rPr>
  </w:style>
  <w:style w:type="paragraph" w:styleId="36">
    <w:name w:val="Subtitle"/>
    <w:basedOn w:val="697"/>
    <w:next w:val="69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9"/>
    <w:link w:val="36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9"/>
    <w:link w:val="720"/>
    <w:uiPriority w:val="99"/>
  </w:style>
  <w:style w:type="character" w:styleId="45">
    <w:name w:val="Footer Char"/>
    <w:basedOn w:val="699"/>
    <w:link w:val="722"/>
    <w:uiPriority w:val="99"/>
  </w:style>
  <w:style w:type="paragraph" w:styleId="46">
    <w:name w:val="Caption"/>
    <w:basedOn w:val="697"/>
    <w:next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22"/>
    <w:uiPriority w:val="99"/>
  </w:style>
  <w:style w:type="table" w:styleId="49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9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9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qFormat/>
    <w:rPr>
      <w:rFonts w:ascii="Times New Roman" w:hAnsi="Times New Roman" w:cs="Times New Roman"/>
      <w:sz w:val="24"/>
      <w:szCs w:val="24"/>
    </w:rPr>
  </w:style>
  <w:style w:type="paragraph" w:styleId="698">
    <w:name w:val="Heading 1"/>
    <w:basedOn w:val="697"/>
    <w:next w:val="697"/>
    <w:link w:val="724"/>
    <w:uiPriority w:val="99"/>
    <w:qFormat/>
    <w:pPr>
      <w:keepNext/>
      <w:outlineLvl w:val="0"/>
    </w:pPr>
    <w:rPr>
      <w:bCs/>
      <w:sz w:val="28"/>
      <w:szCs w:val="20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paragraph" w:styleId="702">
    <w:name w:val="Body Text"/>
    <w:basedOn w:val="697"/>
    <w:link w:val="703"/>
    <w:pPr>
      <w:spacing w:after="120"/>
    </w:pPr>
    <w:rPr>
      <w:sz w:val="20"/>
      <w:szCs w:val="20"/>
    </w:rPr>
  </w:style>
  <w:style w:type="character" w:styleId="703" w:customStyle="1">
    <w:name w:val="Основной текст Знак"/>
    <w:basedOn w:val="699"/>
    <w:link w:val="702"/>
    <w:rPr>
      <w:rFonts w:ascii="Times New Roman" w:hAnsi="Times New Roman" w:cs="Times New Roman"/>
    </w:rPr>
  </w:style>
  <w:style w:type="paragraph" w:styleId="704">
    <w:name w:val="Body Text Indent 2"/>
    <w:basedOn w:val="697"/>
    <w:link w:val="705"/>
    <w:pPr>
      <w:ind w:left="283"/>
      <w:spacing w:after="120" w:line="480" w:lineRule="auto"/>
    </w:pPr>
    <w:rPr>
      <w:sz w:val="20"/>
      <w:szCs w:val="20"/>
    </w:rPr>
  </w:style>
  <w:style w:type="character" w:styleId="705" w:customStyle="1">
    <w:name w:val="Основной текст с отступом 2 Знак"/>
    <w:basedOn w:val="699"/>
    <w:link w:val="704"/>
    <w:rPr>
      <w:rFonts w:ascii="Times New Roman" w:hAnsi="Times New Roman" w:cs="Times New Roman"/>
    </w:rPr>
  </w:style>
  <w:style w:type="paragraph" w:styleId="706">
    <w:name w:val="Balloon Text"/>
    <w:basedOn w:val="697"/>
    <w:link w:val="707"/>
    <w:uiPriority w:val="99"/>
    <w:semiHidden/>
    <w:unhideWhenUsed/>
    <w:rPr>
      <w:rFonts w:ascii="Tahoma" w:hAnsi="Tahoma" w:cs="Tahoma"/>
      <w:sz w:val="16"/>
      <w:szCs w:val="16"/>
    </w:rPr>
  </w:style>
  <w:style w:type="character" w:styleId="707" w:customStyle="1">
    <w:name w:val="Текст выноски Знак"/>
    <w:basedOn w:val="699"/>
    <w:link w:val="706"/>
    <w:uiPriority w:val="99"/>
    <w:semiHidden/>
    <w:rPr>
      <w:rFonts w:ascii="Tahoma" w:hAnsi="Tahoma" w:cs="Tahoma"/>
      <w:sz w:val="16"/>
      <w:szCs w:val="16"/>
    </w:rPr>
  </w:style>
  <w:style w:type="paragraph" w:styleId="708" w:customStyle="1">
    <w:name w:val="ConsPlusNormal"/>
    <w:uiPriority w:val="99"/>
    <w:pPr>
      <w:jc w:val="both"/>
      <w:widowControl w:val="off"/>
    </w:pPr>
    <w:rPr>
      <w:rFonts w:ascii="Arial" w:hAnsi="Arial" w:cs="Arial"/>
    </w:rPr>
  </w:style>
  <w:style w:type="paragraph" w:styleId="709">
    <w:name w:val="List Paragraph"/>
    <w:basedOn w:val="697"/>
    <w:uiPriority w:val="34"/>
    <w:qFormat/>
    <w:pPr>
      <w:contextualSpacing/>
      <w:ind w:left="720"/>
    </w:pPr>
  </w:style>
  <w:style w:type="paragraph" w:styleId="710">
    <w:name w:val="Normal (Web)"/>
    <w:basedOn w:val="697"/>
    <w:uiPriority w:val="99"/>
    <w:unhideWhenUsed/>
    <w:pPr>
      <w:spacing w:before="100" w:beforeAutospacing="1" w:after="100" w:afterAutospacing="1"/>
    </w:pPr>
  </w:style>
  <w:style w:type="paragraph" w:styleId="711" w:customStyle="1">
    <w:name w:val="paragraph"/>
    <w:basedOn w:val="697"/>
    <w:pPr>
      <w:spacing w:before="100" w:beforeAutospacing="1" w:after="100" w:afterAutospacing="1"/>
    </w:pPr>
  </w:style>
  <w:style w:type="character" w:styleId="712" w:customStyle="1">
    <w:name w:val="normaltextrun"/>
    <w:basedOn w:val="699"/>
  </w:style>
  <w:style w:type="character" w:styleId="713" w:customStyle="1">
    <w:name w:val="scxw111914594"/>
    <w:basedOn w:val="699"/>
  </w:style>
  <w:style w:type="character" w:styleId="714" w:customStyle="1">
    <w:name w:val="eop"/>
    <w:basedOn w:val="699"/>
  </w:style>
  <w:style w:type="character" w:styleId="715" w:customStyle="1">
    <w:name w:val="tabchar"/>
    <w:basedOn w:val="699"/>
  </w:style>
  <w:style w:type="character" w:styleId="716" w:customStyle="1">
    <w:name w:val="spellingerror"/>
    <w:basedOn w:val="699"/>
  </w:style>
  <w:style w:type="character" w:styleId="717" w:customStyle="1">
    <w:name w:val="Основной текст (2)_"/>
    <w:basedOn w:val="699"/>
    <w:link w:val="718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718" w:customStyle="1">
    <w:name w:val="Основной текст (2)"/>
    <w:basedOn w:val="697"/>
    <w:link w:val="717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table" w:styleId="719">
    <w:name w:val="Table Grid"/>
    <w:basedOn w:val="700"/>
    <w:rPr>
      <w:rFonts w:ascii="Times New Roman" w:hAnsi="Times New Roman" w:eastAsia="Calibri" w:cs="Times New Roman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0">
    <w:name w:val="Header"/>
    <w:basedOn w:val="697"/>
    <w:link w:val="7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1" w:customStyle="1">
    <w:name w:val="Верхний колонтитул Знак"/>
    <w:basedOn w:val="699"/>
    <w:link w:val="720"/>
    <w:uiPriority w:val="99"/>
    <w:rPr>
      <w:rFonts w:ascii="Times New Roman" w:hAnsi="Times New Roman" w:cs="Times New Roman"/>
      <w:sz w:val="24"/>
      <w:szCs w:val="24"/>
    </w:rPr>
  </w:style>
  <w:style w:type="paragraph" w:styleId="722">
    <w:name w:val="Footer"/>
    <w:basedOn w:val="697"/>
    <w:link w:val="72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3" w:customStyle="1">
    <w:name w:val="Нижний колонтитул Знак"/>
    <w:basedOn w:val="699"/>
    <w:link w:val="722"/>
    <w:uiPriority w:val="99"/>
    <w:rPr>
      <w:rFonts w:ascii="Times New Roman" w:hAnsi="Times New Roman" w:cs="Times New Roman"/>
      <w:sz w:val="24"/>
      <w:szCs w:val="24"/>
    </w:rPr>
  </w:style>
  <w:style w:type="character" w:styleId="724" w:customStyle="1">
    <w:name w:val="Заголовок 1 Знак"/>
    <w:basedOn w:val="699"/>
    <w:link w:val="698"/>
    <w:uiPriority w:val="99"/>
    <w:rPr>
      <w:rFonts w:ascii="Times New Roman" w:hAnsi="Times New Roman" w:cs="Times New Roman"/>
      <w:bCs/>
      <w:sz w:val="28"/>
    </w:rPr>
  </w:style>
  <w:style w:type="character" w:styleId="725" w:customStyle="1">
    <w:name w:val="Основной текст (4)"/>
    <w:rPr>
      <w:b/>
      <w:bCs/>
      <w:sz w:val="26"/>
      <w:szCs w:val="26"/>
      <w:lang w:bidi="ar-SA"/>
    </w:rPr>
  </w:style>
  <w:style w:type="paragraph" w:styleId="726" w:customStyle="1">
    <w:name w:val="docdata"/>
    <w:basedOn w:val="697"/>
    <w:pPr>
      <w:spacing w:before="100" w:beforeAutospacing="1" w:after="100" w:afterAutospacing="1"/>
    </w:pPr>
  </w:style>
  <w:style w:type="character" w:styleId="727" w:customStyle="1">
    <w:name w:val="1672"/>
    <w:basedOn w:val="699"/>
  </w:style>
  <w:style w:type="character" w:styleId="728" w:customStyle="1">
    <w:name w:val="1940"/>
    <w:basedOn w:val="699"/>
  </w:style>
  <w:style w:type="table" w:styleId="729" w:customStyle="1">
    <w:name w:val="Сетка таблицы1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30" w:customStyle="1">
    <w:name w:val="заголовок 1"/>
    <w:basedOn w:val="697"/>
    <w:next w:val="697"/>
    <w:uiPriority w:val="99"/>
    <w:pPr>
      <w:jc w:val="both"/>
      <w:keepNext/>
    </w:pPr>
    <w:rPr>
      <w:rFonts w:ascii="TimesDL" w:hAnsi="TimesDL" w:cs="TimesDL"/>
      <w:b/>
      <w:bCs/>
      <w:sz w:val="28"/>
      <w:szCs w:val="28"/>
    </w:rPr>
  </w:style>
  <w:style w:type="paragraph" w:styleId="731" w:customStyle="1">
    <w:name w:val="заголовок 2"/>
    <w:basedOn w:val="697"/>
    <w:next w:val="697"/>
    <w:uiPriority w:val="99"/>
    <w:pPr>
      <w:keepNext/>
    </w:pPr>
    <w:rPr>
      <w:i/>
      <w:sz w:val="28"/>
      <w:szCs w:val="20"/>
      <w:u w:val="single"/>
    </w:rPr>
  </w:style>
  <w:style w:type="table" w:styleId="732" w:customStyle="1">
    <w:name w:val="Сетка таблицы2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3" w:customStyle="1">
    <w:name w:val="Сетка таблицы3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4" w:customStyle="1">
    <w:name w:val="Сетка таблицы4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5" w:customStyle="1">
    <w:name w:val="Сетка таблицы5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6" w:customStyle="1">
    <w:name w:val="Сетка таблицы6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7" w:customStyle="1">
    <w:name w:val="Сетка таблицы7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38" w:customStyle="1">
    <w:name w:val="Сетка таблицы8"/>
    <w:basedOn w:val="700"/>
    <w:next w:val="7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numbering" w:styleId="739" w:customStyle="1">
    <w:name w:val="Нет списка1"/>
    <w:next w:val="701"/>
    <w:uiPriority w:val="99"/>
    <w:semiHidden/>
    <w:unhideWhenUsed/>
  </w:style>
  <w:style w:type="paragraph" w:styleId="740">
    <w:name w:val="No Spacing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FE00D-2C8F-40D5-BF21-D39DED03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142</cp:revision>
  <dcterms:created xsi:type="dcterms:W3CDTF">2021-08-11T10:34:00Z</dcterms:created>
  <dcterms:modified xsi:type="dcterms:W3CDTF">2026-07-29T08:30:50Z</dcterms:modified>
</cp:coreProperties>
</file>