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ind w:left="783"/>
        <w:jc w:val="both"/>
      </w:pPr>
      <w:r>
        <w:rPr>
          <w:rFonts w:eastAsia="Times New Roman"/>
          <w:sz w:val="26"/>
          <w:szCs w:val="26"/>
        </w:rPr>
      </w:r>
      <w:r/>
      <w:r/>
    </w:p>
    <w:p>
      <w:pPr>
        <w:pStyle w:val="705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915885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3" cy="682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  <w:r/>
    </w:p>
    <w:p>
      <w:pPr>
        <w:pStyle w:val="693"/>
        <w:jc w:val="center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693"/>
        <w:jc w:val="center"/>
      </w:pPr>
      <w:r>
        <w:rPr>
          <w:rFonts w:ascii="Arial" w:hAnsi="Arial" w:cs="Arial"/>
        </w:rPr>
      </w:r>
      <w:r/>
      <w:r/>
    </w:p>
    <w:p>
      <w:pPr>
        <w:pStyle w:val="693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693"/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693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18 июня 2026  года</w:t>
        <w:tab/>
        <w:tab/>
        <w:tab/>
        <w:tab/>
        <w:tab/>
        <w:tab/>
        <w:tab/>
        <w:tab/>
        <w:tab/>
        <w:t xml:space="preserve">№ 285</w:t>
      </w:r>
      <w:r/>
      <w:r/>
    </w:p>
    <w:p>
      <w:pPr>
        <w:pStyle w:val="705"/>
        <w:ind w:left="783" w:right="0"/>
        <w:jc w:val="both"/>
      </w:pPr>
      <w:r>
        <w:rPr>
          <w:b/>
          <w:sz w:val="28"/>
          <w:szCs w:val="28"/>
        </w:rPr>
      </w:r>
      <w:r>
        <w:rPr>
          <w:rFonts w:ascii="Arial" w:hAnsi="Arial" w:eastAsia="Times New Roman" w:cs="Arial"/>
          <w:bCs/>
          <w:spacing w:val="20"/>
          <w:sz w:val="16"/>
          <w:szCs w:val="16"/>
        </w:rPr>
      </w:r>
      <w:r/>
    </w:p>
    <w:p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619"/>
        </w:trPr>
        <w:tc>
          <w:tcPr>
            <w:tcW w:w="7229" w:type="dxa"/>
            <w:textDirection w:val="lrTb"/>
            <w:noWrap w:val="false"/>
          </w:tcPr>
          <w:p>
            <w:pPr>
              <w:ind w:left="-110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размера земельных долей, </w:t>
            </w:r>
            <w:r/>
          </w:p>
          <w:p>
            <w:pPr>
              <w:ind w:left="-110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выраженных в гектарах, в виде простой правильной дроби, в праве общей долевой собственности на земельный участок из состава земель сельскохозяйственного назначения </w:t>
            </w:r>
            <w:r/>
          </w:p>
          <w:p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общей долевой собственности с кадастровым номером 31:13:0902001:64, общей площадью 131 364 кв</w:t>
            </w:r>
            <w:r>
              <w:rPr>
                <w:b/>
                <w:sz w:val="28"/>
                <w:szCs w:val="28"/>
              </w:rPr>
              <w:t xml:space="preserve">.м</w:t>
            </w:r>
            <w:r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ОАО «Нива»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</w:t>
      </w:r>
      <w:r>
        <w:rPr>
          <w:sz w:val="28"/>
          <w:szCs w:val="28"/>
        </w:rPr>
        <w:t xml:space="preserve">унктом</w:t>
      </w:r>
      <w:r>
        <w:rPr>
          <w:sz w:val="28"/>
          <w:szCs w:val="28"/>
        </w:rPr>
        <w:t xml:space="preserve"> 4 ст</w:t>
      </w:r>
      <w:r>
        <w:rPr>
          <w:sz w:val="28"/>
          <w:szCs w:val="28"/>
        </w:rPr>
        <w:t xml:space="preserve">атьи</w:t>
      </w:r>
      <w:r>
        <w:rPr>
          <w:sz w:val="28"/>
          <w:szCs w:val="28"/>
        </w:rPr>
        <w:t xml:space="preserve"> 15, 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8 ст</w:t>
      </w:r>
      <w:r>
        <w:rPr>
          <w:sz w:val="28"/>
          <w:szCs w:val="28"/>
        </w:rPr>
        <w:t xml:space="preserve">атьи</w:t>
      </w:r>
      <w:r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2015 года №218-ФЗ «О государственной регистрации недвижимости»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>
        <w:rPr>
          <w:sz w:val="28"/>
          <w:szCs w:val="28"/>
        </w:rPr>
        <w:t xml:space="preserve">от 16 сентября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2020 года № 1475 «Об утверждении правил определения размеров земельных долей, выраженных в гектарах или (</w:t>
      </w:r>
      <w:r>
        <w:rPr>
          <w:sz w:val="28"/>
          <w:szCs w:val="28"/>
        </w:rPr>
        <w:t xml:space="preserve">балло-гектарах</w:t>
      </w:r>
      <w:r>
        <w:rPr>
          <w:sz w:val="28"/>
          <w:szCs w:val="28"/>
        </w:rPr>
        <w:t xml:space="preserve">), в виде</w:t>
      </w:r>
      <w:r>
        <w:rPr>
          <w:sz w:val="28"/>
          <w:szCs w:val="28"/>
        </w:rPr>
        <w:t xml:space="preserve"> простой правильной дроби»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ю: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простой правильной дроби на земельный участок с кадастровым номером 31:13:0902001:64 общей площадью 131 364 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адресу: Белгородская область, Грайворонск</w:t>
      </w:r>
      <w:r>
        <w:rPr>
          <w:sz w:val="28"/>
          <w:szCs w:val="28"/>
        </w:rPr>
        <w:t xml:space="preserve">ий район, в границах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ОАО «Нива»</w:t>
      </w:r>
      <w:r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 xml:space="preserve">.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Управлению муниципальной</w:t>
      </w:r>
      <w:r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>
        <w:rPr>
          <w:sz w:val="28"/>
          <w:szCs w:val="28"/>
        </w:rPr>
        <w:t xml:space="preserve">ципального округа (Зайцев А.В.)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истечении тридцати дней </w:t>
      </w:r>
      <w:r>
        <w:rPr>
          <w:sz w:val="28"/>
          <w:szCs w:val="28"/>
        </w:rPr>
        <w:t xml:space="preserve">с даты опубликования</w:t>
      </w:r>
      <w:r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постановление в течение трех дней с даты принятия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gra</w:t>
      </w:r>
      <w:r>
        <w:rPr>
          <w:sz w:val="28"/>
          <w:szCs w:val="28"/>
          <w:lang w:val="en-US"/>
        </w:rPr>
        <w:t xml:space="preserve">j</w:t>
      </w:r>
      <w:r>
        <w:rPr>
          <w:sz w:val="28"/>
          <w:szCs w:val="28"/>
        </w:rPr>
        <w:t xml:space="preserve">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исключение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утвержденного</w:t>
      </w:r>
      <w:r>
        <w:rPr>
          <w:bCs/>
          <w:sz w:val="28"/>
          <w:szCs w:val="28"/>
        </w:rPr>
        <w:t xml:space="preserve"> в пункте 1 </w:t>
      </w:r>
      <w:r>
        <w:rPr>
          <w:bCs/>
          <w:sz w:val="28"/>
          <w:szCs w:val="28"/>
        </w:rPr>
        <w:t xml:space="preserve">настоящ</w:t>
      </w:r>
      <w:r>
        <w:rPr>
          <w:bCs/>
          <w:sz w:val="28"/>
          <w:szCs w:val="28"/>
        </w:rPr>
        <w:t xml:space="preserve">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</w:t>
      </w:r>
      <w:r>
        <w:rPr>
          <w:bCs/>
          <w:sz w:val="28"/>
          <w:szCs w:val="28"/>
        </w:rPr>
        <w:t xml:space="preserve">я</w:t>
      </w:r>
      <w:r>
        <w:rPr>
          <w:sz w:val="28"/>
          <w:szCs w:val="28"/>
        </w:rPr>
        <w:t xml:space="preserve">, содержащ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персональные данные граждан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tabs>
          <w:tab w:val="left" w:pos="1134" w:leader="none"/>
        </w:tabs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Контроль за</w:t>
      </w:r>
      <w:r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- председателя комитета финансов </w:t>
      </w:r>
      <w:r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 xml:space="preserve">и налоговой политики администрации Грайворонского муниципального округа А.А. Бляшенко.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26"/>
        <w:gridCol w:w="4713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ind w:left="-10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713" w:type="dxa"/>
            <w:textDirection w:val="lrTb"/>
            <w:noWrap w:val="false"/>
          </w:tcPr>
          <w:p>
            <w:pPr>
              <w:ind w:right="-10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PSMT">
    <w:panose1 w:val="02020603050405020304"/>
  </w:font>
  <w:font w:name="TimesDL">
    <w:panose1 w:val="02000603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9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5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5"/>
    <w:link w:val="716"/>
    <w:uiPriority w:val="99"/>
  </w:style>
  <w:style w:type="character" w:styleId="45">
    <w:name w:val="Footer Char"/>
    <w:basedOn w:val="695"/>
    <w:link w:val="718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8"/>
    <w:uiPriority w:val="99"/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5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5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694">
    <w:name w:val="Heading 1"/>
    <w:basedOn w:val="693"/>
    <w:next w:val="693"/>
    <w:link w:val="720"/>
    <w:uiPriority w:val="99"/>
    <w:qFormat/>
    <w:pPr>
      <w:keepNext/>
      <w:outlineLvl w:val="0"/>
    </w:pPr>
    <w:rPr>
      <w:bCs/>
      <w:sz w:val="28"/>
      <w:szCs w:val="20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Body Text"/>
    <w:basedOn w:val="693"/>
    <w:link w:val="699"/>
    <w:pPr>
      <w:spacing w:after="120"/>
    </w:pPr>
    <w:rPr>
      <w:sz w:val="20"/>
      <w:szCs w:val="20"/>
    </w:rPr>
  </w:style>
  <w:style w:type="character" w:styleId="699" w:customStyle="1">
    <w:name w:val="Основной текст Знак"/>
    <w:basedOn w:val="695"/>
    <w:link w:val="698"/>
    <w:rPr>
      <w:rFonts w:ascii="Times New Roman" w:hAnsi="Times New Roman" w:cs="Times New Roman"/>
    </w:rPr>
  </w:style>
  <w:style w:type="paragraph" w:styleId="700">
    <w:name w:val="Body Text Indent 2"/>
    <w:basedOn w:val="693"/>
    <w:link w:val="701"/>
    <w:pPr>
      <w:ind w:left="283"/>
      <w:spacing w:after="120" w:line="480" w:lineRule="auto"/>
    </w:pPr>
    <w:rPr>
      <w:sz w:val="20"/>
      <w:szCs w:val="20"/>
    </w:rPr>
  </w:style>
  <w:style w:type="character" w:styleId="701" w:customStyle="1">
    <w:name w:val="Основной текст с отступом 2 Знак"/>
    <w:basedOn w:val="695"/>
    <w:link w:val="700"/>
    <w:rPr>
      <w:rFonts w:ascii="Times New Roman" w:hAnsi="Times New Roman" w:cs="Times New Roman"/>
    </w:rPr>
  </w:style>
  <w:style w:type="paragraph" w:styleId="702">
    <w:name w:val="Balloon Text"/>
    <w:basedOn w:val="693"/>
    <w:link w:val="703"/>
    <w:uiPriority w:val="99"/>
    <w:semiHidden/>
    <w:unhideWhenUsed/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95"/>
    <w:link w:val="702"/>
    <w:uiPriority w:val="99"/>
    <w:semiHidden/>
    <w:rPr>
      <w:rFonts w:ascii="Tahoma" w:hAnsi="Tahoma" w:cs="Tahoma"/>
      <w:sz w:val="16"/>
      <w:szCs w:val="16"/>
    </w:rPr>
  </w:style>
  <w:style w:type="paragraph" w:styleId="704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705">
    <w:name w:val="List Paragraph"/>
    <w:basedOn w:val="693"/>
    <w:uiPriority w:val="34"/>
    <w:qFormat/>
    <w:pPr>
      <w:contextualSpacing/>
      <w:ind w:left="720"/>
    </w:pPr>
  </w:style>
  <w:style w:type="paragraph" w:styleId="706">
    <w:name w:val="Normal (Web)"/>
    <w:basedOn w:val="693"/>
    <w:uiPriority w:val="99"/>
    <w:unhideWhenUsed/>
    <w:pPr>
      <w:spacing w:before="100" w:beforeAutospacing="1" w:after="100" w:afterAutospacing="1"/>
    </w:pPr>
  </w:style>
  <w:style w:type="paragraph" w:styleId="707" w:customStyle="1">
    <w:name w:val="paragraph"/>
    <w:basedOn w:val="693"/>
    <w:pPr>
      <w:spacing w:before="100" w:beforeAutospacing="1" w:after="100" w:afterAutospacing="1"/>
    </w:pPr>
  </w:style>
  <w:style w:type="character" w:styleId="708" w:customStyle="1">
    <w:name w:val="normaltextrun"/>
    <w:basedOn w:val="695"/>
  </w:style>
  <w:style w:type="character" w:styleId="709" w:customStyle="1">
    <w:name w:val="scxw111914594"/>
    <w:basedOn w:val="695"/>
  </w:style>
  <w:style w:type="character" w:styleId="710" w:customStyle="1">
    <w:name w:val="eop"/>
    <w:basedOn w:val="695"/>
  </w:style>
  <w:style w:type="character" w:styleId="711" w:customStyle="1">
    <w:name w:val="tabchar"/>
    <w:basedOn w:val="695"/>
  </w:style>
  <w:style w:type="character" w:styleId="712" w:customStyle="1">
    <w:name w:val="spellingerror"/>
    <w:basedOn w:val="695"/>
  </w:style>
  <w:style w:type="character" w:styleId="713" w:customStyle="1">
    <w:name w:val="Основной текст (2)_"/>
    <w:basedOn w:val="695"/>
    <w:link w:val="714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14" w:customStyle="1">
    <w:name w:val="Основной текст (2)"/>
    <w:basedOn w:val="693"/>
    <w:link w:val="713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715">
    <w:name w:val="Table Grid"/>
    <w:basedOn w:val="696"/>
    <w:rPr>
      <w:rFonts w:ascii="Times New Roman" w:hAnsi="Times New Roman" w:eastAsia="Calibri" w:cs="Times New Roman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6">
    <w:name w:val="Header"/>
    <w:basedOn w:val="693"/>
    <w:link w:val="7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Верхний колонтитул Знак"/>
    <w:basedOn w:val="695"/>
    <w:link w:val="716"/>
    <w:uiPriority w:val="99"/>
    <w:rPr>
      <w:rFonts w:ascii="Times New Roman" w:hAnsi="Times New Roman" w:cs="Times New Roman"/>
      <w:sz w:val="24"/>
      <w:szCs w:val="24"/>
    </w:rPr>
  </w:style>
  <w:style w:type="paragraph" w:styleId="718">
    <w:name w:val="Footer"/>
    <w:basedOn w:val="693"/>
    <w:link w:val="7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Нижний колонтитул Знак"/>
    <w:basedOn w:val="695"/>
    <w:link w:val="718"/>
    <w:uiPriority w:val="99"/>
    <w:rPr>
      <w:rFonts w:ascii="Times New Roman" w:hAnsi="Times New Roman" w:cs="Times New Roman"/>
      <w:sz w:val="24"/>
      <w:szCs w:val="24"/>
    </w:rPr>
  </w:style>
  <w:style w:type="character" w:styleId="720" w:customStyle="1">
    <w:name w:val="Заголовок 1 Знак"/>
    <w:basedOn w:val="695"/>
    <w:link w:val="694"/>
    <w:uiPriority w:val="99"/>
    <w:rPr>
      <w:rFonts w:ascii="Times New Roman" w:hAnsi="Times New Roman" w:cs="Times New Roman"/>
      <w:bCs/>
      <w:sz w:val="28"/>
    </w:rPr>
  </w:style>
  <w:style w:type="character" w:styleId="721" w:customStyle="1">
    <w:name w:val="Основной текст (4)"/>
    <w:rPr>
      <w:b/>
      <w:bCs/>
      <w:sz w:val="26"/>
      <w:szCs w:val="26"/>
      <w:lang w:bidi="ar-SA"/>
    </w:rPr>
  </w:style>
  <w:style w:type="paragraph" w:styleId="722" w:customStyle="1">
    <w:name w:val="docdata"/>
    <w:basedOn w:val="693"/>
    <w:pPr>
      <w:spacing w:before="100" w:beforeAutospacing="1" w:after="100" w:afterAutospacing="1"/>
    </w:pPr>
  </w:style>
  <w:style w:type="character" w:styleId="723" w:customStyle="1">
    <w:name w:val="1672"/>
    <w:basedOn w:val="695"/>
  </w:style>
  <w:style w:type="character" w:styleId="724" w:customStyle="1">
    <w:name w:val="1940"/>
    <w:basedOn w:val="695"/>
  </w:style>
  <w:style w:type="table" w:styleId="725" w:customStyle="1">
    <w:name w:val="Сетка таблицы1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 w:customStyle="1">
    <w:name w:val="заголовок 1"/>
    <w:basedOn w:val="693"/>
    <w:next w:val="693"/>
    <w:uiPriority w:val="99"/>
    <w:pPr>
      <w:jc w:val="both"/>
      <w:keepNext/>
    </w:pPr>
    <w:rPr>
      <w:rFonts w:ascii="TimesDL" w:hAnsi="TimesDL" w:cs="TimesDL"/>
      <w:b/>
      <w:bCs/>
      <w:sz w:val="28"/>
      <w:szCs w:val="28"/>
    </w:rPr>
  </w:style>
  <w:style w:type="paragraph" w:styleId="727" w:customStyle="1">
    <w:name w:val="заголовок 2"/>
    <w:basedOn w:val="693"/>
    <w:next w:val="693"/>
    <w:uiPriority w:val="99"/>
    <w:pPr>
      <w:keepNext/>
    </w:pPr>
    <w:rPr>
      <w:i/>
      <w:sz w:val="28"/>
      <w:szCs w:val="20"/>
      <w:u w:val="single"/>
    </w:rPr>
  </w:style>
  <w:style w:type="table" w:styleId="728" w:customStyle="1">
    <w:name w:val="Сетка таблицы2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Сетка таблицы3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Сетка таблицы4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Сетка таблицы5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Сетка таблицы6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Сетка таблицы7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Сетка таблицы8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customStyle="1">
    <w:name w:val="Нет списка1"/>
    <w:next w:val="697"/>
    <w:uiPriority w:val="99"/>
    <w:semiHidden/>
    <w:unhideWhenUsed/>
  </w:style>
  <w:style w:type="character" w:styleId="736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737" w:customStyle="1">
    <w:name w:val="Абзац списка1"/>
    <w:basedOn w:val="693"/>
    <w:pPr>
      <w:contextualSpacing/>
      <w:ind w:left="720"/>
    </w:pPr>
    <w:rPr>
      <w:rFonts w:eastAsia="Calibri"/>
    </w:rPr>
  </w:style>
  <w:style w:type="character" w:styleId="738" w:customStyle="1">
    <w:name w:val="fontstyle01"/>
    <w:basedOn w:val="695"/>
    <w:rPr>
      <w:rFonts w:hint="default"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5C703-304B-4204-8CAB-C995AE28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2026-06-17T11:54:00Z</dcterms:created>
  <dcterms:modified xsi:type="dcterms:W3CDTF">2026-06-18T12:17:19Z</dcterms:modified>
</cp:coreProperties>
</file>