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fillcolor="white" stroked="t" o:allowincell="f" style="position:absolute;margin-left:0.05pt;margin-top:0pt;width:49.95pt;height:49.95pt;mso-wrap-style:none;v-text-anchor:middle" type="_x0000_t75">
                <v:fill o:detectmouseclick="t" type="solid" color2="black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5570" distR="115570" simplePos="0" locked="0" layoutInCell="1" allowOverlap="1" relativeHeight="3">
                <wp:simplePos x="0" y="0"/>
                <wp:positionH relativeFrom="column">
                  <wp:posOffset>2561590</wp:posOffset>
                </wp:positionH>
                <wp:positionV relativeFrom="paragraph">
                  <wp:posOffset>-275590</wp:posOffset>
                </wp:positionV>
                <wp:extent cx="561340" cy="609600"/>
                <wp:effectExtent l="0" t="0" r="0" b="0"/>
                <wp:wrapNone/>
                <wp:docPr id="2" name="_x0000_i0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61240" cy="6094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_x0000_i0" stroked="f" o:allowincell="f" style="position:absolute;margin-left:201.7pt;margin-top:-21.7pt;width:44.15pt;height:47.95pt;mso-wrap-style:none;v-text-anchor:middle" type="_x0000_t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BodyText3"/>
        <w:ind w:hanging="0" w:right="-283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</w:rPr>
      </w:r>
    </w:p>
    <w:p>
      <w:pPr>
        <w:pStyle w:val="BodyText3"/>
        <w:ind w:hanging="0" w:right="-283"/>
        <w:jc w:val="left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BodyText3"/>
        <w:ind w:hanging="0" w:right="-283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  <w:lang w:val="ru-RU"/>
        </w:rPr>
        <w:t>ГРАЙВОРОНСКАЯ ТЕРРИТОРИАЛЬНАЯ ИЗБИРАТЕЛЬНАЯ КОМИССИЯ</w:t>
      </w:r>
    </w:p>
    <w:p>
      <w:pPr>
        <w:pStyle w:val="Normal"/>
        <w:ind w:right="-283"/>
        <w:jc w:val="center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</w:rPr>
      </w:r>
    </w:p>
    <w:p>
      <w:pPr>
        <w:pStyle w:val="Normal"/>
        <w:ind w:right="-283"/>
        <w:jc w:val="center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  <w:b/>
          <w:spacing w:val="60"/>
          <w:sz w:val="32"/>
        </w:rPr>
        <w:t>ПОСТАНОВЛЕНИЕ</w:t>
      </w:r>
    </w:p>
    <w:p>
      <w:pPr>
        <w:pStyle w:val="Normal"/>
        <w:ind w:right="-283"/>
        <w:jc w:val="center"/>
        <w:rPr>
          <w:rFonts w:ascii="PT Astra Serif" w:hAnsi="PT Astra Serif" w:eastAsia="PT Astra Serif" w:cs="PT Astra Serif"/>
        </w:rPr>
      </w:pPr>
      <w:r>
        <w:rPr>
          <w:rFonts w:eastAsia="PT Astra Serif" w:cs="PT Astra Serif" w:ascii="PT Astra Serif" w:hAnsi="PT Astra Serif"/>
        </w:rPr>
      </w:r>
    </w:p>
    <w:tbl>
      <w:tblPr>
        <w:tblW w:w="9246" w:type="dxa"/>
        <w:jc w:val="left"/>
        <w:tblInd w:w="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04"/>
        <w:gridCol w:w="2528"/>
        <w:gridCol w:w="3214"/>
      </w:tblGrid>
      <w:tr>
        <w:trPr/>
        <w:tc>
          <w:tcPr>
            <w:tcW w:w="3504" w:type="dxa"/>
            <w:tcBorders/>
          </w:tcPr>
          <w:p>
            <w:pPr>
              <w:pStyle w:val="Normal"/>
              <w:ind w:right="-283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sz w:val="28"/>
              </w:rPr>
              <w:t>11 сентября 2023 года</w:t>
            </w:r>
          </w:p>
        </w:tc>
        <w:tc>
          <w:tcPr>
            <w:tcW w:w="2528" w:type="dxa"/>
            <w:tcBorders/>
          </w:tcPr>
          <w:p>
            <w:pPr>
              <w:pStyle w:val="Normal"/>
              <w:ind w:right="-28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3214" w:type="dxa"/>
            <w:tcBorders/>
          </w:tcPr>
          <w:p>
            <w:pPr>
              <w:pStyle w:val="Normal"/>
              <w:ind w:right="-283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sz w:val="28"/>
              </w:rPr>
              <w:t xml:space="preserve">№ </w:t>
            </w:r>
            <w:r>
              <w:rPr>
                <w:rFonts w:eastAsia="PT Astra Serif" w:cs="PT Astra Serif" w:ascii="PT Astra Serif" w:hAnsi="PT Astra Serif"/>
                <w:sz w:val="28"/>
              </w:rPr>
              <w:t>36/2</w:t>
            </w:r>
            <w:r>
              <w:rPr>
                <w:rFonts w:eastAsia="PT Astra Serif" w:cs="PT Astra Serif" w:ascii="PT Astra Serif" w:hAnsi="PT Astra Serif"/>
                <w:sz w:val="28"/>
              </w:rPr>
              <w:t>78</w:t>
            </w:r>
            <w:r>
              <w:rPr>
                <w:rFonts w:eastAsia="PT Astra Serif" w:cs="PT Astra Serif" w:ascii="PT Astra Serif" w:hAnsi="PT Astra Serif"/>
                <w:sz w:val="28"/>
              </w:rPr>
              <w:t>-1</w:t>
            </w:r>
          </w:p>
        </w:tc>
      </w:tr>
    </w:tbl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tbl>
      <w:tblPr>
        <w:tblpPr w:vertAnchor="text" w:horzAnchor="text" w:leftFromText="180" w:rightFromText="180" w:tblpX="20" w:tblpY="61"/>
        <w:tblW w:w="607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75"/>
      </w:tblGrid>
      <w:tr>
        <w:trPr>
          <w:trHeight w:val="1135" w:hRule="atLeast"/>
        </w:trPr>
        <w:tc>
          <w:tcPr>
            <w:tcW w:w="6075" w:type="dxa"/>
            <w:tcBorders/>
          </w:tcPr>
          <w:p>
            <w:pPr>
              <w:pStyle w:val="BodyText21"/>
              <w:tabs>
                <w:tab w:val="clear" w:pos="708"/>
                <w:tab w:val="left" w:pos="-5529" w:leader="none"/>
                <w:tab w:val="left" w:pos="-3402" w:leader="none"/>
              </w:tabs>
              <w:ind w:hanging="0" w:right="48"/>
              <w:rPr>
                <w:rFonts w:ascii="PT Astra Serif" w:hAnsi="PT Astra Serif" w:eastAsia="PT Astra Serif" w:cs="PT Astra Serif"/>
                <w:lang w:val="ru-RU"/>
              </w:rPr>
            </w:pPr>
            <w:r>
              <w:rPr>
                <w:rFonts w:eastAsia="PT Astra Serif" w:cs="PT Astra Serif" w:ascii="PT Astra Serif" w:hAnsi="PT Astra Serif"/>
                <w:b/>
                <w:bCs/>
                <w:szCs w:val="28"/>
                <w:lang w:val="ru-RU"/>
              </w:rPr>
              <w:t xml:space="preserve">О </w:t>
            </w:r>
            <w:r>
              <w:rPr>
                <w:rFonts w:eastAsia="PT Astra Serif" w:cs="PT Astra Serif" w:ascii="PT Astra Serif" w:hAnsi="PT Astra Serif"/>
                <w:b/>
                <w:szCs w:val="28"/>
                <w:lang w:val="ru-RU"/>
              </w:rPr>
              <w:t>результатах</w:t>
            </w:r>
            <w:r>
              <w:rPr>
                <w:rFonts w:eastAsia="PT Astra Serif" w:cs="PT Astra Serif" w:ascii="PT Astra Serif" w:hAnsi="PT Astra Serif"/>
                <w:b/>
                <w:bCs/>
                <w:lang w:val="ru-RU"/>
              </w:rPr>
              <w:t xml:space="preserve"> выборов депутата Совета депутатов Грайворонского городского округа второго созыва по одномандатному избирательному округу № 15 </w:t>
            </w:r>
          </w:p>
        </w:tc>
      </w:tr>
    </w:tbl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NoSpacing"/>
        <w:ind w:right="-283"/>
        <w:jc w:val="both"/>
        <w:rPr>
          <w:rFonts w:ascii="PT Astra Serif" w:hAnsi="PT Astra Serif" w:eastAsia="PT Astra Serif" w:cs="PT Astra Serif"/>
          <w:sz w:val="24"/>
          <w:szCs w:val="24"/>
        </w:rPr>
      </w:pPr>
      <w:r>
        <w:rPr>
          <w:rFonts w:eastAsia="PT Astra Serif" w:cs="PT Astra Serif" w:ascii="PT Astra Serif" w:hAnsi="PT Astra Serif"/>
          <w:sz w:val="24"/>
          <w:szCs w:val="24"/>
        </w:rPr>
      </w:r>
    </w:p>
    <w:p>
      <w:pPr>
        <w:pStyle w:val="BodyText21"/>
        <w:ind w:hanging="0" w:right="-283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</w:rPr>
        <w:t>8 - 10 сентября 2023 года состоялись выборы депутатов Совета депутатов Грайворонского городского округа второго созыва. В голосовании по одномандатному избирательному округу № 15 приняли участие 810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избирателей, что составляет 73,04 % от числа зарегистрированных избирателей в округе. 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Жалоб на нарушения избирательного законодательства при проведении выборов и подсчёте голосов избирателей по одномандатному избирательному округу № 15 в Грайворонскую территориальную избирательную комиссию не поступило.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eastAsia="PT Astra Serif" w:cs="PT Astra Serif" w:ascii="PT Astra Serif" w:hAnsi="PT Astra Serif"/>
          <w:sz w:val="28"/>
        </w:rPr>
        <w:t xml:space="preserve">В соответствии со статьями 29, 80, 94 Избирательного кодекса Белгородской области Грайворонская территориальная избирательная комиссия </w:t>
      </w:r>
      <w:r>
        <w:rPr>
          <w:rFonts w:eastAsia="PT Astra Serif" w:cs="PT Astra Serif" w:ascii="PT Astra Serif" w:hAnsi="PT Astra Serif"/>
          <w:b/>
          <w:bCs/>
          <w:sz w:val="28"/>
        </w:rPr>
        <w:t>постановляет: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bCs/>
          <w:sz w:val="28"/>
          <w:szCs w:val="28"/>
        </w:rPr>
        <w:t xml:space="preserve">1. </w:t>
      </w:r>
      <w:r>
        <w:rPr>
          <w:rFonts w:eastAsia="PT Astra Serif" w:cs="PT Astra Serif" w:ascii="PT Astra Serif" w:hAnsi="PT Astra Serif"/>
          <w:sz w:val="28"/>
          <w:szCs w:val="28"/>
        </w:rPr>
        <w:t>Утвердить протокол о результатах выборов депутата Совета депутатов Грайворонского городского округа второго созыва по одномандатному избирательному округу № 15 и сводную таблицу Грайворонской территориальной избирательной комиссии с полномочиями окружной избирательной комиссии по одномандатному избирательному округу № 15.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2. Признать выборы депутата Совета депутатов Грайворонского городского округа второго созыва по одномандатному избирательному округу № 15 состоявшимися и действительными.</w:t>
      </w:r>
    </w:p>
    <w:p>
      <w:pPr>
        <w:pStyle w:val="Normal"/>
        <w:ind w:firstLine="708"/>
        <w:jc w:val="both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eastAsia="PT Astra Serif" w:cs="PT Astra Serif" w:ascii="PT Astra Serif" w:hAnsi="PT Astra Serif"/>
          <w:sz w:val="28"/>
          <w:szCs w:val="28"/>
        </w:rPr>
        <w:t>3. Считать избранным депутатом Совета депутатов Грайворонского городского округа второго созыва</w:t>
      </w:r>
      <w:r>
        <w:rPr>
          <w:rFonts w:eastAsia="PT Astra Serif" w:cs="PT Astra Serif" w:ascii="PT Astra Serif" w:hAnsi="PT Astra Serif"/>
          <w:b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>по</w:t>
      </w:r>
      <w:r>
        <w:rPr>
          <w:rFonts w:eastAsia="PT Astra Serif" w:cs="PT Astra Serif" w:ascii="PT Astra Serif" w:hAnsi="PT Astra Serif"/>
          <w:b/>
          <w:sz w:val="28"/>
          <w:szCs w:val="28"/>
        </w:rPr>
        <w:t xml:space="preserve"> 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одномандатному избирательному округу </w:t>
      </w:r>
      <w:r>
        <w:rPr>
          <w:rFonts w:eastAsia="PT Astra Serif" w:cs="PT Astra Serif" w:ascii="PT Astra Serif" w:hAnsi="PT Astra Serif"/>
          <w:b/>
          <w:sz w:val="28"/>
          <w:szCs w:val="28"/>
        </w:rPr>
        <w:t>№ 15 Головина Андрея Александровича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, </w:t>
      </w:r>
      <w:r>
        <w:rPr>
          <w:rFonts w:eastAsia="PT Astra Serif" w:cs="PT Astra Serif" w:ascii="PT Astra Serif" w:hAnsi="PT Astra Serif"/>
          <w:color w:val="333333"/>
          <w:sz w:val="28"/>
          <w:szCs w:val="28"/>
          <w:shd w:fill="FFFFFF" w:val="clear"/>
        </w:rPr>
        <w:t>получившего при голосовании большее число голосов избирателей, принявших участие в голосовании - 550</w:t>
      </w:r>
      <w:r>
        <w:rPr>
          <w:rFonts w:eastAsia="PT Astra Serif" w:cs="PT Astra Serif" w:ascii="PT Astra Serif" w:hAnsi="PT Astra Serif"/>
          <w:sz w:val="28"/>
          <w:szCs w:val="28"/>
        </w:rPr>
        <w:t xml:space="preserve"> избирателей или 67,9 % от числа проголосовавших.</w:t>
      </w:r>
    </w:p>
    <w:p>
      <w:pPr>
        <w:pStyle w:val="Normal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eastAsia="PT Astra Serif" w:cs="PT Astra Serif" w:ascii="PT Astra Serif" w:hAnsi="PT Astra Serif"/>
          <w:sz w:val="28"/>
        </w:rPr>
        <w:t>4. Настоящее постановление направить избранному депутату Головину Андрею Александровичу, в  Совет депутатов Грайворонского городского округа, в Избирательную комиссию Белгородской области, в администрацию Грайворонского городского округа, избирательным объединениям, принявшим участие в выборах депутатов Совета депутатов Грайворонского городского округа второго созыва.</w:t>
      </w:r>
    </w:p>
    <w:p>
      <w:pPr>
        <w:pStyle w:val="Normal"/>
        <w:ind w:firstLine="709"/>
        <w:jc w:val="both"/>
        <w:rPr>
          <w:rFonts w:ascii="PT Astra Serif" w:hAnsi="PT Astra Serif" w:eastAsia="PT Astra Serif" w:cs="PT Astra Serif"/>
          <w:sz w:val="28"/>
        </w:rPr>
      </w:pPr>
      <w:r>
        <w:rPr>
          <w:rFonts w:eastAsia="PT Astra Serif" w:cs="PT Astra Serif" w:ascii="PT Astra Serif" w:hAnsi="PT Astra Serif"/>
          <w:spacing w:val="-5"/>
          <w:sz w:val="28"/>
          <w:szCs w:val="28"/>
        </w:rPr>
        <w:t>5.</w:t>
      </w:r>
      <w:r>
        <w:rPr>
          <w:rFonts w:eastAsia="PT Astra Serif" w:cs="PT Astra Serif" w:ascii="PT Astra Serif" w:hAnsi="PT Astra Serif"/>
          <w:sz w:val="28"/>
        </w:rPr>
        <w:t xml:space="preserve"> Опубликовать настоящее постановление в газете «Родной край» и разместить настоящее постановление на странице территориальной избирательной комиссии на официальном сайте Избирательной комиссии Белгородской области в информационно-телекоммуникационной сети «Интернет».</w:t>
      </w:r>
    </w:p>
    <w:p>
      <w:pPr>
        <w:pStyle w:val="BodyText21"/>
        <w:ind w:firstLine="708" w:right="-283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  <w:t>6. Контроль за исполнением настоящего постановления возложить на председателя Грайворонской территориальной избирательной комиссии С.В. Краснокутского.</w:t>
      </w:r>
    </w:p>
    <w:p>
      <w:pPr>
        <w:pStyle w:val="BodyText2"/>
        <w:spacing w:lineRule="auto" w:line="240" w:before="0" w:after="0"/>
        <w:ind w:hanging="0" w:right="-283"/>
        <w:jc w:val="both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</w:r>
    </w:p>
    <w:p>
      <w:pPr>
        <w:pStyle w:val="BodyText2"/>
        <w:spacing w:lineRule="auto" w:line="240" w:before="0" w:after="0"/>
        <w:ind w:hanging="0"/>
        <w:jc w:val="both"/>
        <w:rPr>
          <w:rFonts w:ascii="PT Astra Serif" w:hAnsi="PT Astra Serif" w:eastAsia="PT Astra Serif" w:cs="PT Astra Serif"/>
          <w:lang w:val="ru-RU"/>
        </w:rPr>
      </w:pPr>
      <w:r>
        <w:rPr>
          <w:rFonts w:eastAsia="PT Astra Serif" w:cs="PT Astra Serif" w:ascii="PT Astra Serif" w:hAnsi="PT Astra Serif"/>
          <w:lang w:val="ru-RU"/>
        </w:rPr>
      </w:r>
    </w:p>
    <w:tbl>
      <w:tblPr>
        <w:tblW w:w="92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25"/>
        <w:gridCol w:w="1702"/>
        <w:gridCol w:w="2926"/>
      </w:tblGrid>
      <w:tr>
        <w:trPr>
          <w:trHeight w:val="920" w:hRule="atLeast"/>
        </w:trPr>
        <w:tc>
          <w:tcPr>
            <w:tcW w:w="4625" w:type="dxa"/>
            <w:tcBorders/>
            <w:vAlign w:val="bottom"/>
          </w:tcPr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  <w:b/>
                <w:sz w:val="28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Председатель</w:t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2" w:type="dxa"/>
            <w:tcBorders/>
            <w:vAlign w:val="bottom"/>
          </w:tcPr>
          <w:p>
            <w:pPr>
              <w:pStyle w:val="Normal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2926" w:type="dxa"/>
            <w:tcBorders/>
            <w:vAlign w:val="bottom"/>
          </w:tcPr>
          <w:p>
            <w:pPr>
              <w:pStyle w:val="Normal"/>
              <w:jc w:val="right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С.В. Краснокутский</w:t>
            </w:r>
          </w:p>
        </w:tc>
      </w:tr>
      <w:tr>
        <w:trPr>
          <w:trHeight w:val="65" w:hRule="atLeast"/>
        </w:trPr>
        <w:tc>
          <w:tcPr>
            <w:tcW w:w="4625" w:type="dxa"/>
            <w:tcBorders/>
            <w:vAlign w:val="bottom"/>
          </w:tcPr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1702" w:type="dxa"/>
            <w:tcBorders/>
            <w:vAlign w:val="bottom"/>
          </w:tcPr>
          <w:p>
            <w:pPr>
              <w:pStyle w:val="Normal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2926" w:type="dxa"/>
            <w:tcBorders/>
            <w:vAlign w:val="bottom"/>
          </w:tcPr>
          <w:p>
            <w:pPr>
              <w:pStyle w:val="Normal"/>
              <w:jc w:val="right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</w:tr>
      <w:tr>
        <w:trPr>
          <w:trHeight w:val="962" w:hRule="atLeast"/>
        </w:trPr>
        <w:tc>
          <w:tcPr>
            <w:tcW w:w="4625" w:type="dxa"/>
            <w:tcBorders/>
            <w:vAlign w:val="bottom"/>
          </w:tcPr>
          <w:p>
            <w:pPr>
              <w:pStyle w:val="Normal"/>
              <w:rPr>
                <w:rFonts w:ascii="PT Astra Serif" w:hAnsi="PT Astra Serif" w:eastAsia="PT Astra Serif" w:cs="PT Astra Serif"/>
                <w:b/>
                <w:sz w:val="28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Секретарь</w:t>
            </w:r>
          </w:p>
          <w:p>
            <w:pPr>
              <w:pStyle w:val="Normal"/>
              <w:jc w:val="center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Грайворонской территориальной избирательной комиссии</w:t>
            </w:r>
          </w:p>
        </w:tc>
        <w:tc>
          <w:tcPr>
            <w:tcW w:w="1702" w:type="dxa"/>
            <w:tcBorders/>
            <w:vAlign w:val="bottom"/>
          </w:tcPr>
          <w:p>
            <w:pPr>
              <w:pStyle w:val="Normal"/>
              <w:jc w:val="both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</w:rPr>
            </w:r>
          </w:p>
        </w:tc>
        <w:tc>
          <w:tcPr>
            <w:tcW w:w="2926" w:type="dxa"/>
            <w:tcBorders/>
            <w:vAlign w:val="bottom"/>
          </w:tcPr>
          <w:p>
            <w:pPr>
              <w:pStyle w:val="Normal"/>
              <w:jc w:val="right"/>
              <w:rPr>
                <w:rFonts w:ascii="PT Astra Serif" w:hAnsi="PT Astra Serif" w:eastAsia="PT Astra Serif" w:cs="PT Astra Serif"/>
              </w:rPr>
            </w:pPr>
            <w:r>
              <w:rPr>
                <w:rFonts w:eastAsia="PT Astra Serif" w:cs="PT Astra Serif" w:ascii="PT Astra Serif" w:hAnsi="PT Astra Serif"/>
                <w:b/>
                <w:sz w:val="28"/>
              </w:rPr>
              <w:t>Л.А. Угольникова</w:t>
            </w:r>
          </w:p>
        </w:tc>
      </w:tr>
    </w:tbl>
    <w:p>
      <w:pPr>
        <w:pStyle w:val="NoSpacing"/>
        <w:jc w:val="both"/>
        <w:rPr>
          <w:rFonts w:ascii="PT Astra Serif" w:hAnsi="PT Astra Serif" w:eastAsia="PT Astra Serif" w:cs="PT Astra Serif"/>
          <w:b/>
          <w:sz w:val="28"/>
          <w:highlight w:val="yellow"/>
        </w:rPr>
      </w:pPr>
      <w:r>
        <w:rPr>
          <w:rFonts w:eastAsia="PT Astra Serif" w:cs="PT Astra Serif" w:ascii="PT Astra Serif" w:hAnsi="PT Astra Serif"/>
          <w:b/>
          <w:sz w:val="28"/>
          <w:highlight w:val="yellow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newroman">
    <w:charset w:val="cc"/>
    <w:family w:val="roman"/>
    <w:pitch w:val="variable"/>
  </w:font>
  <w:font w:name="PT Astra Serif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Sans" w:hAnsi="PT Sans" w:eastAsia="PT Sans" w:cs="PT Sans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268d"/>
    <w:pPr>
      <w:widowControl/>
      <w:pBdr/>
      <w:shd w:val="nil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Heading1" w:customStyle="1">
    <w:name w:val="Heading 1"/>
    <w:basedOn w:val="Normal"/>
    <w:next w:val="Normal"/>
    <w:link w:val="2"/>
    <w:uiPriority w:val="9"/>
    <w:qFormat/>
    <w:rsid w:val="00bb268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 w:customStyle="1">
    <w:name w:val="Heading 2"/>
    <w:basedOn w:val="Normal"/>
    <w:next w:val="Normal"/>
    <w:link w:val="Heading2Char"/>
    <w:uiPriority w:val="9"/>
    <w:unhideWhenUsed/>
    <w:qFormat/>
    <w:rsid w:val="00bb268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 w:customStyle="1">
    <w:name w:val="Heading 3"/>
    <w:basedOn w:val="Normal"/>
    <w:next w:val="Normal"/>
    <w:link w:val="Heading3Char"/>
    <w:uiPriority w:val="9"/>
    <w:unhideWhenUsed/>
    <w:qFormat/>
    <w:rsid w:val="00bb268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 w:customStyle="1">
    <w:name w:val="Heading 4"/>
    <w:basedOn w:val="Normal"/>
    <w:next w:val="Normal"/>
    <w:link w:val="Heading4Char"/>
    <w:uiPriority w:val="9"/>
    <w:unhideWhenUsed/>
    <w:qFormat/>
    <w:rsid w:val="00bb268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 w:customStyle="1">
    <w:name w:val="Heading 5"/>
    <w:basedOn w:val="Normal"/>
    <w:next w:val="Normal"/>
    <w:link w:val="Heading5Char"/>
    <w:uiPriority w:val="9"/>
    <w:unhideWhenUsed/>
    <w:qFormat/>
    <w:rsid w:val="00bb268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 w:customStyle="1">
    <w:name w:val="Heading 6"/>
    <w:basedOn w:val="Normal"/>
    <w:next w:val="Normal"/>
    <w:link w:val="Heading6Char"/>
    <w:uiPriority w:val="9"/>
    <w:unhideWhenUsed/>
    <w:qFormat/>
    <w:rsid w:val="00bb268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 w:customStyle="1">
    <w:name w:val="Heading 7"/>
    <w:basedOn w:val="Normal"/>
    <w:next w:val="Normal"/>
    <w:link w:val="Heading7Char"/>
    <w:uiPriority w:val="9"/>
    <w:unhideWhenUsed/>
    <w:qFormat/>
    <w:rsid w:val="00bb268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 w:customStyle="1">
    <w:name w:val="Heading 8"/>
    <w:basedOn w:val="Normal"/>
    <w:next w:val="Normal"/>
    <w:link w:val="Heading8Char"/>
    <w:uiPriority w:val="9"/>
    <w:unhideWhenUsed/>
    <w:qFormat/>
    <w:rsid w:val="00bb268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 w:customStyle="1">
    <w:name w:val="Heading 9"/>
    <w:basedOn w:val="Normal"/>
    <w:next w:val="Normal"/>
    <w:link w:val="Heading9Char"/>
    <w:uiPriority w:val="9"/>
    <w:unhideWhenUsed/>
    <w:qFormat/>
    <w:rsid w:val="00bb268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bb268d"/>
    <w:rPr>
      <w:rFonts w:ascii="Arial" w:hAnsi="Arial" w:eastAsia="Arial" w:cs="Arial"/>
      <w:sz w:val="40"/>
      <w:szCs w:val="40"/>
    </w:rPr>
  </w:style>
  <w:style w:type="character" w:styleId="TitleChar" w:customStyle="1">
    <w:name w:val="Title Char"/>
    <w:basedOn w:val="DefaultParagraphFont"/>
    <w:uiPriority w:val="10"/>
    <w:qFormat/>
    <w:rsid w:val="00bb268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bb268d"/>
    <w:rPr>
      <w:sz w:val="24"/>
      <w:szCs w:val="24"/>
    </w:rPr>
  </w:style>
  <w:style w:type="character" w:styleId="QuoteChar" w:customStyle="1">
    <w:name w:val="Quote Char"/>
    <w:link w:val="Quote"/>
    <w:uiPriority w:val="29"/>
    <w:qFormat/>
    <w:rsid w:val="00bb268d"/>
    <w:rPr>
      <w:i/>
    </w:rPr>
  </w:style>
  <w:style w:type="character" w:styleId="IntenseQuoteChar" w:customStyle="1">
    <w:name w:val="Intense Quote Char"/>
    <w:link w:val="IntenseQuote"/>
    <w:uiPriority w:val="30"/>
    <w:qFormat/>
    <w:rsid w:val="00bb268d"/>
    <w:rPr>
      <w:i/>
    </w:rPr>
  </w:style>
  <w:style w:type="character" w:styleId="FootnoteTextChar" w:customStyle="1">
    <w:name w:val="Footnote Text Char"/>
    <w:uiPriority w:val="99"/>
    <w:qFormat/>
    <w:rsid w:val="00bb268d"/>
    <w:rPr>
      <w:sz w:val="18"/>
    </w:rPr>
  </w:style>
  <w:style w:type="character" w:styleId="EndnoteTextChar" w:customStyle="1">
    <w:name w:val="Endnote Text Char"/>
    <w:uiPriority w:val="99"/>
    <w:qFormat/>
    <w:rsid w:val="00bb268d"/>
    <w:rPr>
      <w:sz w:val="20"/>
    </w:rPr>
  </w:style>
  <w:style w:type="character" w:styleId="2" w:customStyle="1">
    <w:name w:val="Основной текст с отступом 2 Знак"/>
    <w:uiPriority w:val="9"/>
    <w:qFormat/>
    <w:rsid w:val="00bb268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sid w:val="00bb268d"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sid w:val="00bb268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bb268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bb268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sid w:val="00bb268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sid w:val="00bb268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sid w:val="00bb268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bb268d"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uiPriority w:val="10"/>
    <w:qFormat/>
    <w:rsid w:val="00bb268d"/>
    <w:rPr>
      <w:sz w:val="48"/>
      <w:szCs w:val="48"/>
    </w:rPr>
  </w:style>
  <w:style w:type="character" w:styleId="Style6" w:customStyle="1">
    <w:name w:val="Подзаголовок Знак"/>
    <w:uiPriority w:val="11"/>
    <w:qFormat/>
    <w:rsid w:val="00bb268d"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sid w:val="00bb268d"/>
    <w:rPr>
      <w:i/>
    </w:rPr>
  </w:style>
  <w:style w:type="character" w:styleId="Style7" w:customStyle="1">
    <w:name w:val="Выделенная цитата Знак"/>
    <w:link w:val="IntenseQuote"/>
    <w:uiPriority w:val="30"/>
    <w:qFormat/>
    <w:rsid w:val="00bb268d"/>
    <w:rPr>
      <w:i/>
    </w:rPr>
  </w:style>
  <w:style w:type="character" w:styleId="HeaderChar" w:customStyle="1">
    <w:name w:val="Header Char"/>
    <w:uiPriority w:val="99"/>
    <w:qFormat/>
    <w:rsid w:val="00bb268d"/>
    <w:rPr/>
  </w:style>
  <w:style w:type="character" w:styleId="FooterChar" w:customStyle="1">
    <w:name w:val="Footer Char"/>
    <w:uiPriority w:val="99"/>
    <w:qFormat/>
    <w:rsid w:val="00bb268d"/>
    <w:rPr/>
  </w:style>
  <w:style w:type="character" w:styleId="CaptionChar" w:customStyle="1">
    <w:name w:val="Caption Char"/>
    <w:uiPriority w:val="99"/>
    <w:qFormat/>
    <w:rsid w:val="00bb268d"/>
    <w:rPr/>
  </w:style>
  <w:style w:type="character" w:styleId="Hyperlink">
    <w:name w:val="Hyperlink"/>
    <w:uiPriority w:val="99"/>
    <w:unhideWhenUsed/>
    <w:rsid w:val="00bb268d"/>
    <w:rPr>
      <w:color w:themeColor="hyperlink" w:val="0563C1"/>
      <w:u w:val="single"/>
    </w:rPr>
  </w:style>
  <w:style w:type="character" w:styleId="Style8" w:customStyle="1">
    <w:name w:val="Текст сноски Знак"/>
    <w:uiPriority w:val="99"/>
    <w:qFormat/>
    <w:rsid w:val="00bb268d"/>
    <w:rPr>
      <w:sz w:val="18"/>
    </w:rPr>
  </w:style>
  <w:style w:type="character" w:styleId="Style9">
    <w:name w:val="Символ сноски"/>
    <w:uiPriority w:val="99"/>
    <w:unhideWhenUsed/>
    <w:qFormat/>
    <w:rsid w:val="00bb268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sid w:val="00bb268d"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sid w:val="00bb268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1" w:customStyle="1">
    <w:name w:val="Основной текст Знак1"/>
    <w:qFormat/>
    <w:rsid w:val="00bb268d"/>
    <w:rPr>
      <w:rFonts w:ascii="Arial" w:hAnsi="Arial" w:eastAsia="Arial" w:cs="Arial"/>
      <w:sz w:val="18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 w:customStyle="1">
    <w:name w:val="Caption"/>
    <w:basedOn w:val="Normal"/>
    <w:next w:val="Normal"/>
    <w:uiPriority w:val="35"/>
    <w:semiHidden/>
    <w:unhideWhenUsed/>
    <w:qFormat/>
    <w:rsid w:val="00bb268d"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Style5"/>
    <w:uiPriority w:val="10"/>
    <w:qFormat/>
    <w:rsid w:val="00bb268d"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rsid w:val="00bb268d"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rsid w:val="00bb268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rsid w:val="00bb268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Style14">
    <w:name w:val="Колонтитул"/>
    <w:basedOn w:val="Normal"/>
    <w:qFormat/>
    <w:pPr/>
    <w:rPr/>
  </w:style>
  <w:style w:type="paragraph" w:styleId="Header" w:customStyle="1">
    <w:name w:val="Header"/>
    <w:basedOn w:val="Normal"/>
    <w:link w:val="HeaderChar"/>
    <w:uiPriority w:val="99"/>
    <w:unhideWhenUsed/>
    <w:rsid w:val="00bb268d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 w:customStyle="1">
    <w:name w:val="Footer"/>
    <w:basedOn w:val="Normal"/>
    <w:link w:val="CaptionChar"/>
    <w:uiPriority w:val="99"/>
    <w:unhideWhenUsed/>
    <w:rsid w:val="00bb268d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noteText">
    <w:name w:val="Footnote Text"/>
    <w:basedOn w:val="Normal"/>
    <w:link w:val="Style8"/>
    <w:uiPriority w:val="99"/>
    <w:semiHidden/>
    <w:unhideWhenUsed/>
    <w:rsid w:val="00bb268d"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rsid w:val="00bb268d"/>
    <w:pPr/>
    <w:rPr/>
  </w:style>
  <w:style w:type="paragraph" w:styleId="TOC1">
    <w:name w:val="TOC 1"/>
    <w:basedOn w:val="Normal"/>
    <w:next w:val="Normal"/>
    <w:uiPriority w:val="39"/>
    <w:unhideWhenUsed/>
    <w:rsid w:val="00bb268d"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rsid w:val="00bb268d"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bb268d"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bb268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bb268d"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bb268d"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bb268d"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bb268d"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bb268d"/>
    <w:pPr>
      <w:spacing w:before="0" w:after="57"/>
      <w:ind w:left="2268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rsid w:val="00bb268d"/>
    <w:pPr>
      <w:widowControl/>
      <w:bidi w:val="0"/>
      <w:spacing w:lineRule="auto" w:line="276" w:before="0" w:after="200"/>
      <w:jc w:val="left"/>
    </w:pPr>
    <w:rPr>
      <w:rFonts w:ascii="PT Sans" w:hAnsi="PT Sans" w:eastAsia="PT Sans" w:cs="PT Sans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rsid w:val="00bb268d"/>
    <w:pPr/>
    <w:rPr/>
  </w:style>
  <w:style w:type="paragraph" w:styleId="NoSpacing">
    <w:name w:val="No Spacing"/>
    <w:basedOn w:val="Normal"/>
    <w:uiPriority w:val="1"/>
    <w:qFormat/>
    <w:rsid w:val="00bb268d"/>
    <w:pPr/>
    <w:rPr/>
  </w:style>
  <w:style w:type="paragraph" w:styleId="ListParagraph">
    <w:name w:val="List Paragraph"/>
    <w:basedOn w:val="Normal"/>
    <w:uiPriority w:val="34"/>
    <w:qFormat/>
    <w:rsid w:val="00bb268d"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rsid w:val="00bb268d"/>
    <w:pPr>
      <w:widowControl/>
      <w:pBdr/>
      <w:shd w:val="nil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eastAsia="zh-CN" w:bidi="ru-RU" w:val="ru-RU"/>
    </w:rPr>
  </w:style>
  <w:style w:type="paragraph" w:styleId="ConsPlusTitle" w:customStyle="1">
    <w:name w:val="ConsPlusTitle"/>
    <w:qFormat/>
    <w:rsid w:val="00bb268d"/>
    <w:pPr>
      <w:widowControl/>
      <w:pBdr/>
      <w:shd w:val="nil"/>
      <w:bidi w:val="0"/>
      <w:spacing w:lineRule="auto" w:line="240"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zh-CN" w:bidi="ru-RU" w:val="ru-RU"/>
    </w:rPr>
  </w:style>
  <w:style w:type="paragraph" w:styleId="BodyText21" w:customStyle="1">
    <w:name w:val="Body Text 21"/>
    <w:qFormat/>
    <w:rsid w:val="00bb268d"/>
    <w:pPr>
      <w:widowControl/>
      <w:pBdr/>
      <w:shd w:val="nil"/>
      <w:bidi w:val="0"/>
      <w:spacing w:lineRule="auto" w:line="240" w:before="0" w:after="0"/>
      <w:ind w:firstLine="700"/>
      <w:jc w:val="both"/>
    </w:pPr>
    <w:rPr>
      <w:rFonts w:ascii="timesnewroman" w:hAnsi="timesnewroman" w:eastAsia="timesnewroman" w:cs="timesnewroman"/>
      <w:color w:val="auto"/>
      <w:kern w:val="0"/>
      <w:sz w:val="28"/>
      <w:szCs w:val="20"/>
      <w:lang w:val="en-US" w:eastAsia="zh-CN" w:bidi="ar-SA"/>
    </w:rPr>
  </w:style>
  <w:style w:type="paragraph" w:styleId="Style15" w:customStyle="1">
    <w:name w:val="Проектный"/>
    <w:qFormat/>
    <w:rsid w:val="00bb268d"/>
    <w:pPr>
      <w:widowControl/>
      <w:pBdr/>
      <w:shd w:val="nil"/>
      <w:bidi w:val="0"/>
      <w:spacing w:lineRule="auto" w:line="360" w:before="0" w:after="120"/>
      <w:ind w:firstLine="709"/>
      <w:jc w:val="both"/>
    </w:pPr>
    <w:rPr>
      <w:rFonts w:ascii="timesnewroman" w:hAnsi="timesnewroman" w:eastAsia="timesnewroman" w:cs="timesnewroman"/>
      <w:color w:val="auto"/>
      <w:kern w:val="0"/>
      <w:sz w:val="28"/>
      <w:szCs w:val="20"/>
      <w:lang w:val="en-US" w:eastAsia="zh-CN" w:bidi="ar-SA"/>
    </w:rPr>
  </w:style>
  <w:style w:type="paragraph" w:styleId="BodyText2">
    <w:name w:val="Body Text 2"/>
    <w:semiHidden/>
    <w:qFormat/>
    <w:rsid w:val="00bb268d"/>
    <w:pPr>
      <w:widowControl/>
      <w:pBdr/>
      <w:shd w:val="nil"/>
      <w:bidi w:val="0"/>
      <w:spacing w:lineRule="auto" w:line="480" w:before="0" w:after="120"/>
      <w:ind w:firstLine="700"/>
      <w:jc w:val="left"/>
    </w:pPr>
    <w:rPr>
      <w:rFonts w:ascii="timesnewroman" w:hAnsi="timesnewroman" w:eastAsia="timesnewroman" w:cs="timesnewroman"/>
      <w:color w:val="auto"/>
      <w:kern w:val="0"/>
      <w:sz w:val="20"/>
      <w:szCs w:val="20"/>
      <w:lang w:val="en-US" w:eastAsia="zh-CN" w:bidi="ar-SA"/>
    </w:rPr>
  </w:style>
  <w:style w:type="paragraph" w:styleId="BodyText3">
    <w:name w:val="Body Text 3"/>
    <w:semiHidden/>
    <w:qFormat/>
    <w:rsid w:val="00bb268d"/>
    <w:pPr>
      <w:widowControl/>
      <w:pBdr/>
      <w:shd w:val="nil"/>
      <w:bidi w:val="0"/>
      <w:spacing w:lineRule="auto" w:line="240" w:before="0" w:after="0"/>
      <w:ind w:firstLine="700"/>
      <w:jc w:val="center"/>
    </w:pPr>
    <w:rPr>
      <w:rFonts w:ascii="timesnewroman" w:hAnsi="timesnewroman" w:eastAsia="timesnewroman" w:cs="timesnewroman"/>
      <w:b/>
      <w:color w:val="auto"/>
      <w:kern w:val="0"/>
      <w:sz w:val="32"/>
      <w:szCs w:val="20"/>
      <w:lang w:val="en-US" w:eastAsia="zh-CN" w:bidi="ar-SA"/>
    </w:rPr>
  </w:style>
  <w:style w:type="paragraph" w:styleId="BodyTextIndent2">
    <w:name w:val="Body Text Indent 2"/>
    <w:link w:val="2"/>
    <w:semiHidden/>
    <w:qFormat/>
    <w:rsid w:val="00bb268d"/>
    <w:pPr>
      <w:widowControl/>
      <w:pBdr/>
      <w:shd w:val="nil"/>
      <w:bidi w:val="0"/>
      <w:spacing w:lineRule="auto" w:line="240" w:before="0" w:after="0"/>
      <w:ind w:firstLine="1134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eastAsia="ru-RU" w:val="ru-RU" w:bidi="ar-SA"/>
    </w:rPr>
  </w:style>
  <w:style w:type="paragraph" w:styleId="14-1" w:customStyle="1">
    <w:name w:val="Текст14-1"/>
    <w:basedOn w:val="Normal"/>
    <w:qFormat/>
    <w:rsid w:val="00bb268d"/>
    <w:pPr>
      <w:pBdr/>
      <w:shd w:val="clear" w:color="auto" w:fill="auto"/>
      <w:spacing w:lineRule="auto" w:line="360"/>
      <w:ind w:firstLine="709"/>
      <w:jc w:val="both"/>
    </w:pPr>
    <w:rPr>
      <w:sz w:val="28"/>
      <w:lang w:eastAsia="zh-CN"/>
    </w:rPr>
  </w:style>
  <w:style w:type="paragraph" w:styleId="211" w:customStyle="1">
    <w:name w:val="Основной текст 21"/>
    <w:basedOn w:val="Normal"/>
    <w:qFormat/>
    <w:rsid w:val="00bb268d"/>
    <w:pPr>
      <w:pBdr/>
      <w:shd w:val="clear" w:color="auto" w:fill="auto"/>
      <w:jc w:val="center"/>
    </w:pPr>
    <w:rPr>
      <w:sz w:val="28"/>
      <w:lang w:eastAsia="zh-CN"/>
    </w:rPr>
  </w:style>
  <w:style w:type="paragraph" w:styleId="Style1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bb268d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b268d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b268d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b268d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PlainTable3">
    <w:name w:val="Plain Table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GridTable2">
    <w:name w:val="Grid Table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b268d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268d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268d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268d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268d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">
    <w:name w:val="Grid Table 7 Colorful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ListTable1Light">
    <w:name w:val="List Table 1 Light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customStyle="1" w:styleId="ListTable4">
    <w:name w:val="List Table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stTable7Colorful">
    <w:name w:val="List Table 7 Colorful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268d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rsid w:val="00bb268d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 pitchFamily="0" charset="1"/>
        <a:ea typeface="PT Sans" pitchFamily="0" charset="1"/>
        <a:cs typeface="PT Sans" pitchFamily="0" charset="1"/>
      </a:majorFont>
      <a:minorFont>
        <a:latin typeface="PT Sans" pitchFamily="0" charset="1"/>
        <a:ea typeface="PT Sans" pitchFamily="0" charset="1"/>
        <a:cs typeface="PT Sans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6350" cap="flat" cmpd="sng" algn="ctr"/>
        <a:ln w="12700" cap="flat" cmpd="sng" algn="ctr"/>
        <a:ln w="19050" cap="flat" cmpd="sng" algn="ctr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LibreOffice/7.6.0.3$Windows_X86_64 LibreOffice_project/69edd8b8ebc41d00b4de3915dc82f8f0fc3b6265</Application>
  <AppVersion>15.0000</AppVersion>
  <Pages>2</Pages>
  <Words>301</Words>
  <Characters>2371</Characters>
  <CharactersWithSpaces>2655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2023-06-26T11:30:00Z</dcterms:created>
  <dc:creator/>
  <dc:description/>
  <dc:language>ru-RU</dc:language>
  <cp:lastModifiedBy/>
  <dcterms:modified xsi:type="dcterms:W3CDTF">2023-09-11T14:16:33Z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