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5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45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32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0943315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32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32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32"/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32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32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32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32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32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32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32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32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32"/>
        <w:jc w:val="both"/>
        <w:rPr>
          <w:sz w:val="22"/>
        </w:rPr>
      </w:pPr>
      <w:r>
        <w:rPr>
          <w:b/>
          <w:sz w:val="22"/>
          <w:szCs w:val="18"/>
        </w:rPr>
        <w:t xml:space="preserve">«__14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_июня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_389__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32"/>
        <w:jc w:val="center"/>
      </w:pPr>
      <w:r>
        <w:rPr>
          <w:b/>
        </w:rPr>
      </w:r>
      <w:r>
        <w:rPr>
          <w:b/>
        </w:rPr>
      </w:r>
      <w:r/>
    </w:p>
    <w:p>
      <w:pPr>
        <w:pStyle w:val="74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4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внесении изменений в постановление администрации Грайворонского городского округа </w:t>
              <w:br/>
              <w:t xml:space="preserve">от 16 мая 2023 года №319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pStyle w:val="74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32"/>
        <w:ind w:firstLine="720"/>
        <w:jc w:val="both"/>
        <w:tabs>
          <w:tab w:val="left" w:pos="1134" w:leader="none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В целях приведения нормативных правовых актов администрации Грайворонского городского округа в соответствие с нормами действующего законодательства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/>
    </w:p>
    <w:p>
      <w:pPr>
        <w:pStyle w:val="732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</w:t>
        <w:tab/>
        <w:t xml:space="preserve">Внести следующие изменения в постановление администрации Грайворонского городского округа от 16 мая 2023 года №319 «О дополнительных гарантиях по квотированию рабочих мест для граждан, испытывающих трудности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в поиске работы, в 2023 году»:</w:t>
      </w:r>
      <w:r/>
    </w:p>
    <w:p>
      <w:pPr>
        <w:pStyle w:val="732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</w:t>
        <w:tab/>
      </w:r>
      <w:r>
        <w:rPr>
          <w:sz w:val="26"/>
          <w:szCs w:val="26"/>
        </w:rPr>
        <w:t xml:space="preserve">преамбулу вышеназванного постановления изложить в следующей редакции:</w:t>
      </w:r>
      <w:r/>
    </w:p>
    <w:p>
      <w:pPr>
        <w:pStyle w:val="732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«Во исполнение Федерального закона от 24 ноября 1995 года №181-ФЗ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«О социальной защите инвалидов в Российской Федерации», Закона Российской Федерации от 19 апреля 1991 года №1032-1 «О занятости населения в Российской Федерации», постановления Правительства Российской Федерации от 02 ноября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2021 года №1909 «О регистрации граждан в целях поиска подходящей работы, регистрации безработных граждан, требованиях к подбору подходящей работы, внесении изменения в постановление Правительства Российской Федерации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от 8 апреля 2020 г. № 460, а также о признании утратившими силу некоторых актов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и отдельных положений некоторых актов Правительства Российской Федерации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;</w:t>
      </w:r>
      <w:r/>
    </w:p>
    <w:p>
      <w:pPr>
        <w:pStyle w:val="732"/>
        <w:ind w:firstLine="720"/>
        <w:jc w:val="both"/>
        <w:tabs>
          <w:tab w:val="left" w:pos="1134" w:leader="none"/>
        </w:tabs>
      </w:pPr>
      <w:r>
        <w:rPr>
          <w:sz w:val="26"/>
          <w:szCs w:val="26"/>
        </w:rPr>
        <w:t xml:space="preserve">-</w:t>
        <w:tab/>
      </w:r>
      <w:r>
        <w:rPr>
          <w:sz w:val="26"/>
          <w:szCs w:val="26"/>
        </w:rPr>
        <w:t xml:space="preserve">список предприятий и организаций, предоставляющих места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для граждан, испытывающих трудности в поиске работы, в 2023 году, установленные</w:t>
      </w:r>
      <w:r>
        <w:rPr>
          <w:sz w:val="26"/>
          <w:szCs w:val="26"/>
        </w:rPr>
        <w:t xml:space="preserve"> в пункте 1 вышеназванного постановления, изложить в редакции согласно приложению к настоящему постановлению.</w:t>
      </w:r>
      <w:r>
        <w:rPr>
          <w:sz w:val="26"/>
          <w:szCs w:val="26"/>
        </w:rPr>
        <w:t xml:space="preserve"> </w:t>
      </w:r>
      <w:r/>
    </w:p>
    <w:p>
      <w:pPr>
        <w:pStyle w:val="732"/>
        <w:ind w:right="-1" w:firstLine="709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(</w:t>
      </w:r>
      <w:r>
        <w:rPr>
          <w:sz w:val="26"/>
          <w:szCs w:val="26"/>
          <w:lang w:val="en-US"/>
        </w:rPr>
        <w:t xml:space="preserve">grajvoron</w:t>
      </w:r>
      <w:r>
        <w:rPr>
          <w:sz w:val="26"/>
          <w:szCs w:val="26"/>
        </w:rPr>
        <w:t xml:space="preserve">-</w:t>
      </w:r>
      <w:r>
        <w:rPr>
          <w:sz w:val="26"/>
          <w:szCs w:val="26"/>
          <w:lang w:val="en-US"/>
        </w:rPr>
        <w:t xml:space="preserve">r</w:t>
      </w:r>
      <w:r>
        <w:rPr>
          <w:sz w:val="26"/>
          <w:szCs w:val="26"/>
        </w:rPr>
        <w:t xml:space="preserve">31.</w:t>
      </w:r>
      <w:r>
        <w:rPr>
          <w:sz w:val="26"/>
          <w:szCs w:val="26"/>
          <w:lang w:val="en-US"/>
        </w:rPr>
        <w:t xml:space="preserve">gosweb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gosuslugi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).</w:t>
      </w:r>
      <w:r/>
    </w:p>
    <w:p>
      <w:pPr>
        <w:pStyle w:val="732"/>
        <w:ind w:firstLine="708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</w:t>
        <w:tab/>
        <w:t xml:space="preserve">Контроль за исполнением постановления возложить на заместителя главы администрации городского округа – секретаря Совета безопасности </w:t>
        <w:br/>
        <w:t xml:space="preserve">В.И. Радченко.</w:t>
      </w:r>
      <w:r/>
    </w:p>
    <w:p>
      <w:pPr>
        <w:pStyle w:val="732"/>
        <w:ind w:right="-1" w:firstLine="709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732"/>
        <w:ind w:right="-1" w:firstLine="709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927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32"/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732"/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Г.И. Бондарев</w:t>
            </w:r>
            <w:r/>
          </w:p>
        </w:tc>
      </w:tr>
    </w:tbl>
    <w:p>
      <w:pPr>
        <w:pStyle w:val="732"/>
        <w:spacing w:before="10" w:after="10" w:line="216" w:lineRule="auto"/>
        <w:rPr>
          <w:b/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285" w:right="567" w:bottom="993" w:left="1701" w:header="709" w:footer="709" w:gutter="0"/>
          <w:cols w:num="1" w:sep="0" w:space="708" w:equalWidth="1"/>
          <w:docGrid w:linePitch="360"/>
          <w:titlePg/>
        </w:sectPr>
      </w:pPr>
      <w:r>
        <w:rPr>
          <w:b/>
          <w:sz w:val="28"/>
          <w:szCs w:val="28"/>
        </w:rPr>
      </w:r>
      <w:r/>
    </w:p>
    <w:tbl>
      <w:tblPr>
        <w:tblpPr w:horzAnchor="margin" w:tblpXSpec="right" w:vertAnchor="text" w:tblpY="-57" w:leftFromText="180" w:topFromText="0" w:rightFromText="180" w:bottomFromText="0"/>
        <w:tblW w:w="964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395"/>
        <w:gridCol w:w="283"/>
        <w:gridCol w:w="4962"/>
      </w:tblGrid>
      <w:tr>
        <w:trPr>
          <w:trHeight w:val="19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widowControl w:val="off"/>
              <w:rPr>
                <w:b/>
                <w:color w:val="000000"/>
                <w:sz w:val="26"/>
                <w:szCs w:val="26"/>
              </w:rPr>
              <w:framePr w:hSpace="180" w:wrap="around" w:vAnchor="text" w:hAnchor="margin" w:xAlign="right" w:y="-57"/>
            </w:pPr>
            <w:r>
              <w:rPr>
                <w:b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widowControl w:val="off"/>
              <w:rPr>
                <w:b/>
                <w:color w:val="000000"/>
                <w:sz w:val="26"/>
                <w:szCs w:val="26"/>
              </w:rPr>
              <w:framePr w:hSpace="180" w:wrap="around" w:vAnchor="text" w:hAnchor="margin" w:xAlign="right" w:y="-57"/>
            </w:pPr>
            <w:r>
              <w:rPr>
                <w:b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shd w:val="clear" w:color="auto" w:fill="ffffff"/>
              <w:widowControl w:val="off"/>
              <w:rPr>
                <w:b/>
                <w:color w:val="000000"/>
                <w:sz w:val="26"/>
                <w:szCs w:val="26"/>
              </w:rPr>
              <w:framePr w:hSpace="180" w:wrap="around" w:vAnchor="text" w:hAnchor="margin" w:xAlign="right" w:y="-57"/>
            </w:pPr>
            <w:r>
              <w:rPr>
                <w:b/>
                <w:color w:val="000000"/>
                <w:sz w:val="26"/>
                <w:szCs w:val="26"/>
              </w:rPr>
              <w:t xml:space="preserve">ПРИЛОЖЕНИЕ</w:t>
            </w:r>
            <w:r/>
          </w:p>
          <w:p>
            <w:pPr>
              <w:pStyle w:val="732"/>
              <w:ind w:hanging="108"/>
              <w:jc w:val="center"/>
              <w:shd w:val="clear" w:color="auto" w:fill="ffffff"/>
              <w:widowControl w:val="off"/>
              <w:rPr>
                <w:b/>
                <w:sz w:val="26"/>
                <w:szCs w:val="26"/>
              </w:rPr>
              <w:framePr w:hSpace="180" w:wrap="around" w:vAnchor="text" w:hAnchor="margin" w:xAlign="right" w:y="-57"/>
            </w:pPr>
            <w:r>
              <w:rPr>
                <w:b/>
                <w:color w:val="000000"/>
                <w:sz w:val="26"/>
                <w:szCs w:val="26"/>
              </w:rPr>
              <w:t xml:space="preserve">к постановлению администрации Грайворонского городского округа</w:t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pStyle w:val="732"/>
              <w:ind w:right="-108"/>
              <w:jc w:val="center"/>
              <w:shd w:val="clear" w:color="auto" w:fill="ffffff"/>
              <w:widowControl w:val="off"/>
              <w:rPr>
                <w:b/>
                <w:color w:val="000000"/>
                <w:sz w:val="26"/>
                <w:szCs w:val="26"/>
              </w:rPr>
              <w:framePr w:hSpace="180" w:wrap="around" w:vAnchor="text" w:hAnchor="margin" w:xAlign="right" w:y="-57"/>
            </w:pPr>
            <w:r>
              <w:rPr>
                <w:b/>
                <w:color w:val="000000"/>
                <w:sz w:val="26"/>
                <w:szCs w:val="26"/>
              </w:rPr>
              <w:t xml:space="preserve">от «_14_»_июня_2023_ года №_389_</w:t>
            </w:r>
            <w:r/>
          </w:p>
        </w:tc>
      </w:tr>
    </w:tbl>
    <w:p>
      <w:pPr>
        <w:pStyle w:val="732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73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СПИСОК </w:t>
        <w:br/>
        <w:t xml:space="preserve">предприятий и организаций, предоставляющих места для граждан, испытывающих трудности в поиске работы, в 2023 году</w:t>
      </w:r>
      <w:r/>
    </w:p>
    <w:p>
      <w:pPr>
        <w:pStyle w:val="7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1767"/>
        <w:gridCol w:w="1314"/>
        <w:gridCol w:w="1654"/>
        <w:gridCol w:w="1862"/>
        <w:gridCol w:w="1405"/>
        <w:gridCol w:w="1124"/>
        <w:gridCol w:w="1513"/>
        <w:gridCol w:w="1282"/>
        <w:gridCol w:w="1084"/>
        <w:gridCol w:w="1104"/>
      </w:tblGrid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/>
          </w:p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п/п</w:t>
            </w:r>
            <w:r>
              <w:rPr>
                <w:b/>
              </w:rPr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предприятия, организации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Одинокие</w:t>
            </w:r>
            <w:r>
              <w:rPr>
                <w:b/>
              </w:rPr>
            </w:r>
            <w:r/>
          </w:p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и многодет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ные родители (квота)</w:t>
            </w:r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Лица предпенсион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ного возраста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Выпускники среднего профессиональ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ного образования</w:t>
            </w:r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Беженцы </w:t>
            </w:r>
            <w:r>
              <w:rPr>
                <w:b/>
              </w:rPr>
            </w:r>
            <w:r/>
          </w:p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и вынужден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ные переселенцы (квота)</w:t>
            </w:r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Гражда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не, уволен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ные </w:t>
            </w:r>
            <w:r>
              <w:rPr>
                <w:b/>
              </w:rPr>
            </w:r>
            <w:r/>
          </w:p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с военной службы </w:t>
            </w:r>
            <w:r>
              <w:rPr>
                <w:b/>
              </w:rPr>
            </w:r>
            <w:r/>
          </w:p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и члены их семей (квота)</w:t>
            </w:r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Лица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 освобожден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ные </w:t>
            </w:r>
            <w:r>
              <w:rPr>
                <w:b/>
              </w:rPr>
              <w:t xml:space="preserve">из </w:t>
            </w:r>
            <w:r>
              <w:rPr>
                <w:b/>
              </w:rPr>
              <w:t xml:space="preserve">учреждений, исполняющих наказание (квота)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Граждане, подверг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шие воздейст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вию радиации (квота)</w:t>
            </w:r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Моло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дежь </w:t>
            </w:r>
            <w:r>
              <w:rPr>
                <w:b/>
              </w:rPr>
            </w:r>
            <w:r/>
          </w:p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в возрасте 16-18 лет</w:t>
            </w:r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Инва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лиды (квота)</w:t>
            </w:r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ООО «Центр ЖКУ</w:t>
            </w:r>
            <w:r>
              <w:t xml:space="preserve"> </w:t>
            </w:r>
            <w:r>
              <w:t xml:space="preserve">«Грайворонский»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2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2</w:t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ООО «Грайворон агроинвест»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3</w:t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ООО «Заречье»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4</w:t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ООО «Грайворонская молочная компания»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5</w:t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ОГБУЗ «Грайворонская ЦРБ»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>
              <w:t xml:space="preserve">1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</w:pPr>
            <w:r/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767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Итого</w:t>
            </w:r>
            <w:r/>
          </w:p>
        </w:tc>
        <w:tc>
          <w:tcPr>
            <w:tcW w:w="131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/>
          </w:p>
        </w:tc>
        <w:tc>
          <w:tcPr>
            <w:tcW w:w="1862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405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12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/>
          </w:p>
        </w:tc>
        <w:tc>
          <w:tcPr>
            <w:tcW w:w="1513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/>
          </w:p>
        </w:tc>
        <w:tc>
          <w:tcPr>
            <w:tcW w:w="1282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08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104" w:type="dxa"/>
            <w:vAlign w:val="top"/>
            <w:textDirection w:val="lrTb"/>
            <w:noWrap w:val="false"/>
          </w:tcPr>
          <w:p>
            <w:pPr>
              <w:pStyle w:val="732"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/>
          </w:p>
        </w:tc>
      </w:tr>
    </w:tbl>
    <w:p>
      <w:r/>
    </w:p>
    <w:sectPr>
      <w:footnotePr/>
      <w:endnotePr/>
      <w:type w:val="nextPage"/>
      <w:pgSz w:w="16838" w:h="11906" w:orient="landscape"/>
      <w:pgMar w:top="1701" w:right="1135" w:bottom="567" w:left="993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rPr>
        <w:rStyle w:val="739"/>
      </w:rPr>
      <w:framePr w:wrap="around" w:vAnchor="text" w:hAnchor="margin" w:xAlign="center" w:y="1"/>
    </w:pPr>
    <w:r>
      <w:rPr>
        <w:rStyle w:val="739"/>
      </w:rPr>
      <w:fldChar w:fldCharType="begin"/>
    </w:r>
    <w:r>
      <w:rPr>
        <w:rStyle w:val="739"/>
      </w:rPr>
      <w:instrText xml:space="preserve">PAGE  </w:instrText>
    </w:r>
    <w:r>
      <w:rPr>
        <w:rStyle w:val="739"/>
      </w:rPr>
      <w:fldChar w:fldCharType="separate"/>
    </w:r>
    <w:r>
      <w:rPr>
        <w:rStyle w:val="739"/>
      </w:rPr>
      <w:t xml:space="preserve">2</w:t>
    </w:r>
    <w:r>
      <w:rPr>
        <w:rStyle w:val="739"/>
      </w:rPr>
      <w:fldChar w:fldCharType="end"/>
    </w:r>
    <w:r>
      <w:rPr>
        <w:rStyle w:val="739"/>
      </w:rPr>
    </w:r>
    <w:r/>
  </w:p>
  <w:p>
    <w:pPr>
      <w:pStyle w:val="73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rPr>
        <w:rStyle w:val="739"/>
      </w:rPr>
      <w:framePr w:wrap="around" w:vAnchor="text" w:hAnchor="margin" w:xAlign="center" w:y="1"/>
    </w:pPr>
    <w:r>
      <w:rPr>
        <w:rStyle w:val="739"/>
      </w:rPr>
      <w:fldChar w:fldCharType="begin"/>
    </w:r>
    <w:r>
      <w:rPr>
        <w:rStyle w:val="739"/>
      </w:rPr>
      <w:instrText xml:space="preserve">PAGE  </w:instrText>
    </w:r>
    <w:r>
      <w:rPr>
        <w:rStyle w:val="739"/>
      </w:rPr>
      <w:fldChar w:fldCharType="end"/>
    </w:r>
    <w:r>
      <w:rPr>
        <w:rStyle w:val="739"/>
      </w:rPr>
    </w:r>
    <w:r/>
  </w:p>
  <w:p>
    <w:pPr>
      <w:pStyle w:val="73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pStyle w:val="732"/>
        <w:ind w:left="1080" w:hanging="360"/>
        <w:tabs>
          <w:tab w:val="num" w:pos="1080" w:leader="none"/>
        </w:tabs>
      </w:pPr>
    </w:lvl>
    <w:lvl w:ilvl="2">
      <w:start w:val="2"/>
      <w:numFmt w:val="decimal"/>
      <w:isLgl w:val="false"/>
      <w:suff w:val="tab"/>
      <w:lvlText w:val="%3."/>
      <w:lvlJc w:val="left"/>
      <w:pPr>
        <w:pStyle w:val="732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732"/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732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732"/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732"/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32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20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732"/>
        <w:ind w:left="1158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732"/>
        <w:ind w:left="142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732"/>
        <w:ind w:left="1788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732"/>
        <w:ind w:left="178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732"/>
        <w:ind w:left="2148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732"/>
        <w:ind w:left="21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732"/>
        <w:ind w:left="2508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732"/>
        <w:ind w:left="2868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32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68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pStyle w:val="732"/>
        <w:ind w:left="1308" w:hanging="600"/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pStyle w:val="732"/>
        <w:ind w:left="1428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pStyle w:val="732"/>
        <w:ind w:left="1788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pStyle w:val="732"/>
        <w:ind w:left="1788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pStyle w:val="732"/>
        <w:ind w:left="2148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pStyle w:val="732"/>
        <w:ind w:left="2148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732"/>
        <w:ind w:left="2508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732"/>
        <w:ind w:left="2868" w:hanging="2160"/>
      </w:pPr>
      <w:rPr>
        <w:color w:val="00000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28" w:hanging="180"/>
      </w:pPr>
    </w:lvl>
  </w:abstractNum>
  <w:abstractNum w:abstractNumId="9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32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0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32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32"/>
        <w:ind w:left="720" w:hanging="360"/>
        <w:tabs>
          <w:tab w:val="num" w:pos="72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16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788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8604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932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1004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10764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1148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1220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12924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8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54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6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8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70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4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14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6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1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8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83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3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40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743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4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903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4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1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1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3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0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7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6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  <w:lang w:val="en-US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2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32"/>
        <w:ind w:left="696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28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66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20" w:hanging="360"/>
      </w:pPr>
      <w:rPr>
        <w:b w:val="0"/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6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48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0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2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4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6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08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0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82"/>
      </w:pPr>
      <w:rPr>
        <w:rFonts w:ascii="Times New Roman" w:hAnsi="Times New Roman" w:eastAsia="Times New Roman"/>
        <w:b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0"/>
      </w:pPr>
      <w:rPr>
        <w:rFonts w:ascii="Times New Roman" w:hAnsi="Times New Roman" w:eastAsia="Times New Roman"/>
        <w:b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4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2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4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0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32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687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4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2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4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0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140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4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68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40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12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84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56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28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00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72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1128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4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1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1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3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0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7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6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32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49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7254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28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450" w:hanging="45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40" w:hanging="180"/>
      </w:pPr>
    </w:lvl>
  </w:abstractNum>
  <w:abstractNum w:abstractNumId="40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32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32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66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480" w:hanging="180"/>
        <w:tabs>
          <w:tab w:val="num" w:pos="648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2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2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2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2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2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2"/>
        <w:ind w:left="6828" w:hanging="180"/>
      </w:p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1070" w:hanging="360"/>
      </w:pPr>
      <w:rPr>
        <w:b w:val="0"/>
        <w:i/>
      </w:rPr>
    </w:lvl>
    <w:lvl w:ilvl="1">
      <w:start w:val="1"/>
      <w:numFmt w:val="decimal"/>
      <w:isLgl w:val="false"/>
      <w:suff w:val="tab"/>
      <w:lvlText w:val="%2."/>
      <w:lvlJc w:val="left"/>
      <w:pPr>
        <w:pStyle w:val="732"/>
        <w:ind w:left="1790" w:hanging="360"/>
        <w:tabs>
          <w:tab w:val="num" w:pos="179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732"/>
        <w:ind w:left="2510" w:hanging="360"/>
        <w:tabs>
          <w:tab w:val="num" w:pos="25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32"/>
        <w:ind w:left="3230" w:hanging="360"/>
        <w:tabs>
          <w:tab w:val="num" w:pos="323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732"/>
        <w:ind w:left="3950" w:hanging="360"/>
        <w:tabs>
          <w:tab w:val="num" w:pos="395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732"/>
        <w:ind w:left="4670" w:hanging="360"/>
        <w:tabs>
          <w:tab w:val="num" w:pos="46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32"/>
        <w:ind w:left="5390" w:hanging="360"/>
        <w:tabs>
          <w:tab w:val="num" w:pos="539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732"/>
        <w:ind w:left="6110" w:hanging="360"/>
        <w:tabs>
          <w:tab w:val="num" w:pos="611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732"/>
        <w:ind w:left="6830" w:hanging="360"/>
        <w:tabs>
          <w:tab w:val="num" w:pos="6830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2"/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pStyle w:val="732"/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2"/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2"/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2"/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2"/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2"/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2"/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2"/>
        <w:ind w:left="7832" w:hanging="2160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32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32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32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32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32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32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32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32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32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num w:numId="1">
    <w:abstractNumId w:val="23"/>
  </w:num>
  <w:num w:numId="2">
    <w:abstractNumId w:val="3"/>
  </w:num>
  <w:num w:numId="3">
    <w:abstractNumId w:val="47"/>
  </w:num>
  <w:num w:numId="4">
    <w:abstractNumId w:val="48"/>
  </w:num>
  <w:num w:numId="5">
    <w:abstractNumId w:val="36"/>
  </w:num>
  <w:num w:numId="6">
    <w:abstractNumId w:val="28"/>
  </w:num>
  <w:num w:numId="7">
    <w:abstractNumId w:val="1"/>
  </w:num>
  <w:num w:numId="8">
    <w:abstractNumId w:val="9"/>
  </w:num>
  <w:num w:numId="9">
    <w:abstractNumId w:val="35"/>
  </w:num>
  <w:num w:numId="10">
    <w:abstractNumId w:val="19"/>
  </w:num>
  <w:num w:numId="11">
    <w:abstractNumId w:val="44"/>
  </w:num>
  <w:num w:numId="12">
    <w:abstractNumId w:val="20"/>
  </w:num>
  <w:num w:numId="13">
    <w:abstractNumId w:val="24"/>
  </w:num>
  <w:num w:numId="14">
    <w:abstractNumId w:val="27"/>
  </w:num>
  <w:num w:numId="15">
    <w:abstractNumId w:val="30"/>
  </w:num>
  <w:num w:numId="16">
    <w:abstractNumId w:val="32"/>
  </w:num>
  <w:num w:numId="17">
    <w:abstractNumId w:val="34"/>
  </w:num>
  <w:num w:numId="18">
    <w:abstractNumId w:val="17"/>
  </w:num>
  <w:num w:numId="19">
    <w:abstractNumId w:val="12"/>
  </w:num>
  <w:num w:numId="20">
    <w:abstractNumId w:val="40"/>
  </w:num>
  <w:num w:numId="21">
    <w:abstractNumId w:val="6"/>
  </w:num>
  <w:num w:numId="22">
    <w:abstractNumId w:val="14"/>
  </w:num>
  <w:num w:numId="23">
    <w:abstractNumId w:val="22"/>
  </w:num>
  <w:num w:numId="24">
    <w:abstractNumId w:val="21"/>
  </w:num>
  <w:num w:numId="25">
    <w:abstractNumId w:val="29"/>
  </w:num>
  <w:num w:numId="26">
    <w:abstractNumId w:val="5"/>
  </w:num>
  <w:num w:numId="27">
    <w:abstractNumId w:val="15"/>
  </w:num>
  <w:num w:numId="28">
    <w:abstractNumId w:val="10"/>
  </w:num>
  <w:num w:numId="29">
    <w:abstractNumId w:val="45"/>
  </w:num>
  <w:num w:numId="30">
    <w:abstractNumId w:val="42"/>
  </w:num>
  <w:num w:numId="31">
    <w:abstractNumId w:val="4"/>
  </w:num>
  <w:num w:numId="32">
    <w:abstractNumId w:val="7"/>
  </w:num>
  <w:num w:numId="33">
    <w:abstractNumId w:val="33"/>
  </w:num>
  <w:num w:numId="34">
    <w:abstractNumId w:val="37"/>
  </w:num>
  <w:num w:numId="35">
    <w:abstractNumId w:val="11"/>
  </w:num>
  <w:num w:numId="36">
    <w:abstractNumId w:val="8"/>
  </w:num>
  <w:num w:numId="37">
    <w:abstractNumId w:val="13"/>
  </w:num>
  <w:num w:numId="38">
    <w:abstractNumId w:val="25"/>
  </w:num>
  <w:num w:numId="39">
    <w:abstractNumId w:val="18"/>
  </w:num>
  <w:num w:numId="40">
    <w:abstractNumId w:val="43"/>
  </w:num>
  <w:num w:numId="41">
    <w:abstractNumId w:val="0"/>
  </w:num>
  <w:num w:numId="42">
    <w:abstractNumId w:val="26"/>
  </w:num>
  <w:num w:numId="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31"/>
  </w:num>
  <w:num w:numId="46">
    <w:abstractNumId w:val="41"/>
  </w:num>
  <w:num w:numId="47">
    <w:abstractNumId w:val="38"/>
  </w:num>
  <w:num w:numId="48">
    <w:abstractNumId w:val="16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32"/>
    <w:next w:val="732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32"/>
    <w:next w:val="73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32"/>
    <w:next w:val="73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32"/>
    <w:next w:val="73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32"/>
    <w:next w:val="73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32"/>
    <w:next w:val="73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32"/>
    <w:next w:val="73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32"/>
    <w:next w:val="73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32"/>
    <w:next w:val="73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32"/>
    <w:next w:val="73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32"/>
    <w:next w:val="73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32"/>
    <w:next w:val="73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32"/>
    <w:next w:val="73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32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3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32"/>
    <w:next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3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3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32"/>
    <w:next w:val="73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32"/>
    <w:next w:val="73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32"/>
    <w:next w:val="73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32"/>
    <w:next w:val="73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32"/>
    <w:next w:val="73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32"/>
    <w:next w:val="73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32"/>
    <w:next w:val="73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32"/>
    <w:next w:val="73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32"/>
    <w:next w:val="73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32"/>
    <w:next w:val="732"/>
    <w:uiPriority w:val="99"/>
    <w:unhideWhenUsed/>
    <w:pPr>
      <w:spacing w:after="0" w:afterAutospacing="0"/>
    </w:pPr>
  </w:style>
  <w:style w:type="paragraph" w:styleId="732" w:default="1">
    <w:name w:val="Normal"/>
    <w:next w:val="732"/>
    <w:link w:val="732"/>
    <w:rPr>
      <w:lang w:val="ru-RU" w:bidi="ar-SA" w:eastAsia="ru-RU"/>
    </w:rPr>
  </w:style>
  <w:style w:type="character" w:styleId="733">
    <w:name w:val="Основной шрифт абзаца"/>
    <w:next w:val="733"/>
    <w:link w:val="732"/>
    <w:semiHidden/>
  </w:style>
  <w:style w:type="table" w:styleId="734">
    <w:name w:val="Обычная таблица"/>
    <w:next w:val="734"/>
    <w:link w:val="732"/>
    <w:semiHidden/>
    <w:tblPr/>
  </w:style>
  <w:style w:type="numbering" w:styleId="735">
    <w:name w:val="Нет списка"/>
    <w:next w:val="735"/>
    <w:link w:val="732"/>
    <w:semiHidden/>
  </w:style>
  <w:style w:type="table" w:styleId="736">
    <w:name w:val="Сетка таблицы"/>
    <w:basedOn w:val="734"/>
    <w:next w:val="736"/>
    <w:link w:val="732"/>
    <w:tblPr/>
  </w:style>
  <w:style w:type="paragraph" w:styleId="737">
    <w:name w:val="Основной текст с отступом 2"/>
    <w:basedOn w:val="732"/>
    <w:next w:val="737"/>
    <w:link w:val="732"/>
    <w:pPr>
      <w:ind w:left="283"/>
      <w:spacing w:after="120" w:line="480" w:lineRule="auto"/>
    </w:pPr>
  </w:style>
  <w:style w:type="paragraph" w:styleId="738">
    <w:name w:val="Верхний колонтитул"/>
    <w:basedOn w:val="732"/>
    <w:next w:val="738"/>
    <w:link w:val="732"/>
    <w:pPr>
      <w:tabs>
        <w:tab w:val="center" w:pos="4677" w:leader="none"/>
        <w:tab w:val="right" w:pos="9355" w:leader="none"/>
      </w:tabs>
    </w:pPr>
  </w:style>
  <w:style w:type="character" w:styleId="739">
    <w:name w:val="Номер страницы"/>
    <w:basedOn w:val="733"/>
    <w:next w:val="739"/>
    <w:link w:val="732"/>
  </w:style>
  <w:style w:type="paragraph" w:styleId="740">
    <w:name w:val="Текст выноски"/>
    <w:basedOn w:val="732"/>
    <w:next w:val="740"/>
    <w:link w:val="732"/>
    <w:semiHidden/>
    <w:rPr>
      <w:rFonts w:ascii="Tahoma" w:hAnsi="Tahoma"/>
      <w:sz w:val="16"/>
      <w:szCs w:val="16"/>
    </w:rPr>
  </w:style>
  <w:style w:type="paragraph" w:styleId="741">
    <w:name w:val="Основной текст"/>
    <w:basedOn w:val="732"/>
    <w:next w:val="741"/>
    <w:link w:val="766"/>
    <w:pPr>
      <w:spacing w:after="120"/>
    </w:pPr>
  </w:style>
  <w:style w:type="paragraph" w:styleId="742">
    <w:name w:val="Обычный (веб)"/>
    <w:basedOn w:val="732"/>
    <w:next w:val="742"/>
    <w:link w:val="73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43">
    <w:name w:val="Основной текст с отступом Знак"/>
    <w:next w:val="743"/>
    <w:link w:val="744"/>
    <w:rPr>
      <w:sz w:val="24"/>
      <w:szCs w:val="24"/>
      <w:lang w:val="ru-RU" w:bidi="ar-SA" w:eastAsia="ru-RU"/>
    </w:rPr>
  </w:style>
  <w:style w:type="paragraph" w:styleId="744">
    <w:name w:val="Основной текст с отступом"/>
    <w:basedOn w:val="732"/>
    <w:next w:val="744"/>
    <w:link w:val="743"/>
    <w:pPr>
      <w:ind w:left="283"/>
      <w:spacing w:after="120"/>
    </w:pPr>
    <w:rPr>
      <w:sz w:val="24"/>
      <w:szCs w:val="24"/>
    </w:rPr>
  </w:style>
  <w:style w:type="paragraph" w:styleId="745">
    <w:name w:val="List Paragraph"/>
    <w:basedOn w:val="732"/>
    <w:next w:val="745"/>
    <w:link w:val="732"/>
    <w:pPr>
      <w:contextualSpacing/>
      <w:ind w:left="720"/>
    </w:pPr>
    <w:rPr>
      <w:rFonts w:eastAsia="Calibri"/>
      <w:sz w:val="24"/>
      <w:szCs w:val="24"/>
    </w:rPr>
  </w:style>
  <w:style w:type="paragraph" w:styleId="746">
    <w:name w:val="ConsPlusNormal"/>
    <w:next w:val="746"/>
    <w:link w:val="750"/>
    <w:pPr>
      <w:widowControl w:val="off"/>
    </w:pPr>
    <w:rPr>
      <w:rFonts w:ascii="Arial" w:hAnsi="Arial"/>
      <w:lang w:val="ru-RU" w:bidi="ar-SA" w:eastAsia="ru-RU"/>
    </w:rPr>
  </w:style>
  <w:style w:type="paragraph" w:styleId="747">
    <w:name w:val="Нижний колонтитул"/>
    <w:basedOn w:val="732"/>
    <w:next w:val="747"/>
    <w:link w:val="732"/>
    <w:pPr>
      <w:tabs>
        <w:tab w:val="center" w:pos="4677" w:leader="none"/>
        <w:tab w:val="right" w:pos="9355" w:leader="none"/>
      </w:tabs>
    </w:pPr>
  </w:style>
  <w:style w:type="character" w:styleId="748">
    <w:name w:val="Гиперссылка"/>
    <w:next w:val="748"/>
    <w:link w:val="732"/>
    <w:rPr>
      <w:color w:val="0000FF"/>
      <w:u w:val="single"/>
    </w:rPr>
  </w:style>
  <w:style w:type="character" w:styleId="749">
    <w:name w:val="Строгий"/>
    <w:next w:val="749"/>
    <w:link w:val="732"/>
    <w:rPr>
      <w:b/>
      <w:bCs/>
    </w:rPr>
  </w:style>
  <w:style w:type="character" w:styleId="750">
    <w:name w:val="ConsPlusNormal Знак"/>
    <w:next w:val="750"/>
    <w:link w:val="746"/>
    <w:rPr>
      <w:rFonts w:ascii="Arial" w:hAnsi="Arial"/>
      <w:lang w:val="ru-RU" w:bidi="ar-SA" w:eastAsia="ru-RU"/>
    </w:rPr>
  </w:style>
  <w:style w:type="paragraph" w:styleId="751">
    <w:name w:val="ConsPlusTitle"/>
    <w:next w:val="751"/>
    <w:link w:val="732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52">
    <w:name w:val="Основной текст 2"/>
    <w:basedOn w:val="732"/>
    <w:next w:val="752"/>
    <w:link w:val="753"/>
    <w:pPr>
      <w:spacing w:after="120" w:line="480" w:lineRule="auto"/>
    </w:pPr>
    <w:rPr>
      <w:rFonts w:eastAsia="Calibri"/>
      <w:sz w:val="24"/>
      <w:szCs w:val="24"/>
    </w:rPr>
  </w:style>
  <w:style w:type="character" w:styleId="753">
    <w:name w:val="Основной текст 2 Знак"/>
    <w:next w:val="753"/>
    <w:link w:val="752"/>
    <w:rPr>
      <w:rFonts w:eastAsia="Calibri"/>
      <w:sz w:val="24"/>
      <w:szCs w:val="24"/>
      <w:lang w:val="ru-RU" w:bidi="ar-SA" w:eastAsia="ru-RU"/>
    </w:rPr>
  </w:style>
  <w:style w:type="paragraph" w:styleId="754">
    <w:name w:val="Абзац списка"/>
    <w:basedOn w:val="732"/>
    <w:next w:val="754"/>
    <w:link w:val="732"/>
    <w:pPr>
      <w:contextualSpacing/>
      <w:ind w:left="720"/>
    </w:pPr>
    <w:rPr>
      <w:sz w:val="24"/>
      <w:szCs w:val="24"/>
    </w:rPr>
  </w:style>
  <w:style w:type="paragraph" w:styleId="755">
    <w:name w:val="western"/>
    <w:basedOn w:val="732"/>
    <w:next w:val="755"/>
    <w:link w:val="73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56">
    <w:name w:val="Основной текст с отступом 21"/>
    <w:basedOn w:val="732"/>
    <w:next w:val="756"/>
    <w:link w:val="732"/>
    <w:pPr>
      <w:ind w:left="720" w:hanging="851"/>
      <w:jc w:val="both"/>
    </w:pPr>
    <w:rPr>
      <w:sz w:val="28"/>
      <w:lang w:eastAsia="ar-SA"/>
    </w:rPr>
  </w:style>
  <w:style w:type="character" w:styleId="757">
    <w:name w:val="Body text_"/>
    <w:next w:val="757"/>
    <w:link w:val="758"/>
    <w:rPr>
      <w:sz w:val="25"/>
      <w:szCs w:val="25"/>
      <w:lang w:bidi="ar-SA"/>
    </w:rPr>
  </w:style>
  <w:style w:type="paragraph" w:styleId="758">
    <w:name w:val="Body text"/>
    <w:basedOn w:val="732"/>
    <w:next w:val="758"/>
    <w:link w:val="757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59">
    <w:name w:val="Название"/>
    <w:basedOn w:val="732"/>
    <w:next w:val="759"/>
    <w:link w:val="763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60">
    <w:name w:val="Font Style11"/>
    <w:next w:val="760"/>
    <w:link w:val="732"/>
    <w:rPr>
      <w:rFonts w:ascii="Times New Roman" w:hAnsi="Times New Roman"/>
      <w:sz w:val="24"/>
      <w:szCs w:val="24"/>
    </w:rPr>
  </w:style>
  <w:style w:type="paragraph" w:styleId="761">
    <w:name w:val="Основной текст 3"/>
    <w:basedOn w:val="732"/>
    <w:next w:val="761"/>
    <w:link w:val="732"/>
    <w:pPr>
      <w:spacing w:after="120"/>
    </w:pPr>
    <w:rPr>
      <w:sz w:val="16"/>
      <w:szCs w:val="16"/>
    </w:rPr>
  </w:style>
  <w:style w:type="paragraph" w:styleId="762">
    <w:name w:val="ConsPlusNonformat"/>
    <w:next w:val="762"/>
    <w:link w:val="732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63">
    <w:name w:val="Название Знак"/>
    <w:next w:val="763"/>
    <w:link w:val="759"/>
    <w:rPr>
      <w:b/>
      <w:bCs/>
      <w:sz w:val="40"/>
    </w:rPr>
  </w:style>
  <w:style w:type="character" w:styleId="764">
    <w:name w:val="Основной текст_"/>
    <w:next w:val="764"/>
    <w:link w:val="765"/>
    <w:rPr>
      <w:shd w:val="clear" w:color="auto" w:fill="ffffff"/>
    </w:rPr>
  </w:style>
  <w:style w:type="paragraph" w:styleId="765">
    <w:name w:val="Основной текст1"/>
    <w:basedOn w:val="732"/>
    <w:next w:val="765"/>
    <w:link w:val="764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66">
    <w:name w:val="Основной текст Знак"/>
    <w:next w:val="766"/>
    <w:link w:val="741"/>
  </w:style>
  <w:style w:type="paragraph" w:styleId="769">
    <w:name w:val="UserStyle_16"/>
    <w:basedOn w:val="732"/>
    <w:next w:val="759"/>
    <w:link w:val="732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70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32"/>
    <w:next w:val="770"/>
    <w:link w:val="732"/>
    <w:pPr>
      <w:spacing w:before="100" w:beforeAutospacing="1" w:after="100" w:afterAutospacing="1"/>
    </w:pPr>
    <w:rPr>
      <w:sz w:val="24"/>
      <w:szCs w:val="24"/>
    </w:rPr>
  </w:style>
  <w:style w:type="character" w:styleId="771">
    <w:name w:val="fontstyle01"/>
    <w:next w:val="771"/>
    <w:link w:val="732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72">
    <w:name w:val="Основной текст 21"/>
    <w:basedOn w:val="732"/>
    <w:next w:val="772"/>
    <w:link w:val="732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73">
    <w:name w:val="Основной текст + Полужирный;Интервал 3 pt"/>
    <w:next w:val="773"/>
    <w:link w:val="732"/>
    <w:rPr>
      <w:rFonts w:ascii="Times New Roman" w:hAnsi="Times New Roman" w:eastAsia="Times New Roman"/>
      <w:b/>
      <w:bCs/>
      <w:spacing w:val="68"/>
      <w:sz w:val="25"/>
      <w:szCs w:val="25"/>
      <w:shd w:val="clear" w:color="auto" w:fill="ffffff"/>
    </w:rPr>
  </w:style>
  <w:style w:type="paragraph" w:styleId="774">
    <w:name w:val="5373,bqiaagaaeyqcaaagiaiaaam7eaaabuuuaaaaaaaaaaaaaaaaaaaaaaaaaaaaaaaaaaaaaaaaaaaaaaaaaaaaaaaaaaaaaaaaaaaaaaaaaaaaaaaaaaaaaaaaaaaaaaaaaaaaaaaaaaaaaaaaaaaaaaaaaaaaaaaaaaaaaaaaaaaaaaaaaaaaaaaaaaaaaaaaaaaaaaaaaaaaaaaaaaaaaaaaaaaaaaaaaaaaaaaa"/>
    <w:basedOn w:val="732"/>
    <w:next w:val="774"/>
    <w:link w:val="732"/>
    <w:pPr>
      <w:spacing w:before="100" w:beforeAutospacing="1" w:after="100" w:afterAutospacing="1"/>
    </w:pPr>
    <w:rPr>
      <w:sz w:val="24"/>
      <w:szCs w:val="24"/>
    </w:rPr>
  </w:style>
  <w:style w:type="character" w:styleId="775">
    <w:name w:val="1139,bqiaagaaeyqcaaagiaiaaaotawaabbsdaaaaaaaaaaaaaaaaaaaaaaaaaaaaaaaaaaaaaaaaaaaaaaaaaaaaaaaaaaaaaaaaaaaaaaaaaaaaaaaaaaaaaaaaaaaaaaaaaaaaaaaaaaaaaaaaaaaaaaaaaaaaaaaaaaaaaaaaaaaaaaaaaaaaaaaaaaaaaaaaaaaaaaaaaaaaaaaaaaaaaaaaaaaaaaaaaaaaaaaa"/>
    <w:basedOn w:val="733"/>
    <w:next w:val="775"/>
    <w:link w:val="732"/>
  </w:style>
  <w:style w:type="paragraph" w:styleId="776">
    <w:name w:val="8262,bqiaagaaeyqcaaagiaiaaaoahwaaby4faaaaaaaaaaaaaaaaaaaaaaaaaaaaaaaaaaaaaaaaaaaaaaaaaaaaaaaaaaaaaaaaaaaaaaaaaaaaaaaaaaaaaaaaaaaaaaaaaaaaaaaaaaaaaaaaaaaaaaaaaaaaaaaaaaaaaaaaaaaaaaaaaaaaaaaaaaaaaaaaaaaaaaaaaaaaaaaaaaaaaaaaaaaaaaaaaaaaaaaa"/>
    <w:basedOn w:val="732"/>
    <w:next w:val="776"/>
    <w:link w:val="732"/>
    <w:pPr>
      <w:spacing w:before="100" w:beforeAutospacing="1" w:after="100" w:afterAutospacing="1"/>
    </w:pPr>
    <w:rPr>
      <w:sz w:val="24"/>
      <w:szCs w:val="24"/>
    </w:rPr>
  </w:style>
  <w:style w:type="character" w:styleId="777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33"/>
    <w:next w:val="777"/>
    <w:link w:val="732"/>
  </w:style>
  <w:style w:type="character" w:styleId="1851" w:default="1">
    <w:name w:val="Default Paragraph Font"/>
    <w:uiPriority w:val="1"/>
    <w:semiHidden/>
    <w:unhideWhenUsed/>
  </w:style>
  <w:style w:type="numbering" w:styleId="1852" w:default="1">
    <w:name w:val="No List"/>
    <w:uiPriority w:val="99"/>
    <w:semiHidden/>
    <w:unhideWhenUsed/>
  </w:style>
  <w:style w:type="table" w:styleId="18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2023-06-14T10:31:22Z</dcterms:modified>
</cp:coreProperties>
</file>