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sz w:val="10"/>
          <w:szCs w:val="28"/>
        </w:rPr>
      </w:pPr>
      <w:r>
        <w:rPr>
          <w:sz w:val="10"/>
          <w:szCs w:val="28"/>
        </w:rPr>
      </w:r>
      <w:r>
        <w:rPr>
          <w:sz w:val="10"/>
          <w:szCs w:val="28"/>
        </w:rPr>
      </w:r>
    </w:p>
    <w:p>
      <w:pPr>
        <w:pStyle w:val="802"/>
        <w:jc w:val="center"/>
        <w:tabs>
          <w:tab w:val="left" w:pos="5580" w:leader="none"/>
        </w:tabs>
      </w:pPr>
      <w:r>
        <w:rPr>
          <w:b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524288" behindDoc="1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-114299</wp:posOffset>
                </wp:positionV>
                <wp:extent cx="605790" cy="685800"/>
                <wp:effectExtent l="0" t="0" r="0" b="0"/>
                <wp:wrapNone/>
                <wp:docPr id="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8838458" name="" hidden="0"/>
                        <pic:cNvPicPr/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579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-524288;o:allowoverlap:true;o:allowincell:true;mso-position-horizontal-relative:text;margin-left:216.0pt;mso-position-horizontal:absolute;mso-position-vertical-relative:text;margin-top:-9.0pt;mso-position-vertical:absolute;width:47.7pt;height:54.0pt;" stroked="f">
                <v:path textboxrect="0,0,0,0"/>
                <v:imagedata r:id="rId15" o:title=""/>
              </v:shape>
            </w:pict>
          </mc:Fallback>
        </mc:AlternateContent>
      </w:r>
      <w:r>
        <w:rPr>
          <w:b/>
          <w:sz w:val="36"/>
          <w:szCs w:val="36"/>
        </w:rPr>
      </w:r>
      <w:r/>
    </w:p>
    <w:p>
      <w:pPr>
        <w:pStyle w:val="802"/>
        <w:jc w:val="center"/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  <w:r/>
    </w:p>
    <w:p>
      <w:pPr>
        <w:pStyle w:val="802"/>
        <w:jc w:val="center"/>
        <w:outlineLvl w:val="0"/>
      </w:pPr>
      <w:r>
        <w:rPr>
          <w:b/>
          <w:sz w:val="10"/>
          <w:szCs w:val="10"/>
        </w:rPr>
      </w:r>
      <w:r>
        <w:rPr>
          <w:b/>
          <w:sz w:val="10"/>
          <w:szCs w:val="10"/>
        </w:rPr>
      </w:r>
      <w:r/>
    </w:p>
    <w:p>
      <w:pPr>
        <w:pStyle w:val="802"/>
        <w:jc w:val="center"/>
        <w:rPr>
          <w:rFonts w:ascii="Arial" w:hAnsi="Arial"/>
        </w:rPr>
        <w:outlineLvl w:val="0"/>
      </w:pPr>
      <w:r>
        <w:rPr>
          <w:rFonts w:ascii="Arial" w:hAnsi="Arial"/>
          <w:b/>
          <w:sz w:val="20"/>
          <w:szCs w:val="20"/>
        </w:rPr>
        <w:t xml:space="preserve">Б е л г о р о д с к а я   о б л а с т ь</w:t>
      </w:r>
      <w:r>
        <w:rPr>
          <w:rFonts w:ascii="Arial" w:hAnsi="Arial"/>
          <w:b/>
          <w:sz w:val="20"/>
          <w:szCs w:val="20"/>
        </w:rPr>
      </w:r>
      <w:r/>
    </w:p>
    <w:p>
      <w:pPr>
        <w:pStyle w:val="802"/>
        <w:jc w:val="center"/>
        <w:outlineLvl w:val="0"/>
      </w:pPr>
      <w:r>
        <w:rPr>
          <w:b/>
          <w:sz w:val="10"/>
          <w:szCs w:val="10"/>
        </w:rPr>
      </w:r>
      <w:r>
        <w:rPr>
          <w:b/>
          <w:sz w:val="10"/>
          <w:szCs w:val="10"/>
        </w:rPr>
      </w:r>
      <w:r/>
    </w:p>
    <w:p>
      <w:pPr>
        <w:pStyle w:val="802"/>
        <w:jc w:val="center"/>
        <w:rPr>
          <w:rFonts w:ascii="Arial Narrow" w:hAnsi="Arial Narrow"/>
        </w:rPr>
        <w:outlineLvl w:val="0"/>
      </w:pPr>
      <w:r>
        <w:rPr>
          <w:rFonts w:ascii="Arial Narrow" w:hAnsi="Arial Narrow"/>
          <w:b/>
          <w:sz w:val="32"/>
          <w:szCs w:val="32"/>
        </w:rPr>
        <w:t xml:space="preserve">АДМИНИСТРАЦИ</w:t>
      </w:r>
      <w:r>
        <w:rPr>
          <w:rFonts w:ascii="Arial Narrow" w:hAnsi="Arial Narrow"/>
          <w:b/>
          <w:sz w:val="32"/>
          <w:szCs w:val="32"/>
        </w:rPr>
        <w:t xml:space="preserve">Я</w:t>
      </w:r>
      <w:r>
        <w:rPr>
          <w:rFonts w:ascii="Arial Narrow" w:hAnsi="Arial Narrow"/>
          <w:b/>
          <w:sz w:val="32"/>
          <w:szCs w:val="32"/>
        </w:rPr>
        <w:t xml:space="preserve"> </w:t>
      </w:r>
      <w:r>
        <w:rPr>
          <w:rFonts w:ascii="Arial Narrow" w:hAnsi="Arial Narrow"/>
          <w:b/>
          <w:sz w:val="32"/>
          <w:szCs w:val="32"/>
        </w:rPr>
      </w:r>
      <w:r/>
    </w:p>
    <w:p>
      <w:pPr>
        <w:pStyle w:val="802"/>
        <w:jc w:val="center"/>
        <w:rPr>
          <w:rFonts w:ascii="Arial Narrow" w:hAnsi="Arial Narrow"/>
        </w:rPr>
        <w:outlineLvl w:val="0"/>
      </w:pPr>
      <w:r>
        <w:rPr>
          <w:rFonts w:ascii="Arial Narrow" w:hAnsi="Arial Narrow"/>
          <w:b/>
          <w:sz w:val="32"/>
          <w:szCs w:val="32"/>
        </w:rPr>
        <w:t xml:space="preserve">ГРАЙВОРОНСКОГО ГОРОДСКОГО ОКРУГА</w:t>
      </w:r>
      <w:r>
        <w:rPr>
          <w:rFonts w:ascii="Arial Narrow" w:hAnsi="Arial Narrow"/>
          <w:b/>
          <w:sz w:val="32"/>
          <w:szCs w:val="32"/>
        </w:rPr>
      </w:r>
      <w:r/>
    </w:p>
    <w:p>
      <w:pPr>
        <w:pStyle w:val="802"/>
        <w:jc w:val="center"/>
        <w:outlineLvl w:val="0"/>
      </w:pPr>
      <w:r>
        <w:rPr>
          <w:b/>
          <w:sz w:val="10"/>
          <w:szCs w:val="10"/>
        </w:rPr>
      </w:r>
      <w:r>
        <w:rPr>
          <w:b/>
          <w:sz w:val="10"/>
          <w:szCs w:val="10"/>
        </w:rPr>
      </w:r>
      <w:r/>
    </w:p>
    <w:p>
      <w:pPr>
        <w:pStyle w:val="802"/>
        <w:jc w:val="center"/>
        <w:rPr>
          <w:rFonts w:ascii="Arial" w:hAnsi="Arial"/>
        </w:rPr>
        <w:outlineLvl w:val="0"/>
      </w:pPr>
      <w:r>
        <w:rPr>
          <w:rFonts w:ascii="Arial" w:hAnsi="Arial"/>
          <w:spacing w:val="20"/>
          <w:sz w:val="32"/>
          <w:szCs w:val="32"/>
        </w:rPr>
        <w:t xml:space="preserve">ПОСТАНОВЛЕНИЕ</w:t>
      </w:r>
      <w:r>
        <w:rPr>
          <w:rFonts w:ascii="Arial" w:hAnsi="Arial"/>
          <w:spacing w:val="20"/>
          <w:sz w:val="32"/>
          <w:szCs w:val="32"/>
        </w:rPr>
      </w:r>
      <w:r/>
    </w:p>
    <w:p>
      <w:pPr>
        <w:pStyle w:val="802"/>
        <w:jc w:val="center"/>
        <w:rPr>
          <w:rFonts w:ascii="Arial" w:hAnsi="Arial"/>
        </w:rPr>
      </w:pPr>
      <w:r>
        <w:rPr>
          <w:rFonts w:ascii="Arial" w:hAnsi="Arial"/>
          <w:b/>
          <w:sz w:val="4"/>
          <w:szCs w:val="4"/>
        </w:rPr>
      </w:r>
      <w:r>
        <w:rPr>
          <w:rFonts w:ascii="Arial" w:hAnsi="Arial"/>
          <w:b/>
          <w:sz w:val="4"/>
          <w:szCs w:val="4"/>
        </w:rPr>
      </w:r>
      <w:r/>
    </w:p>
    <w:p>
      <w:pPr>
        <w:pStyle w:val="802"/>
        <w:jc w:val="center"/>
        <w:rPr>
          <w:rFonts w:ascii="Arial" w:hAnsi="Arial"/>
        </w:rPr>
      </w:pPr>
      <w:r>
        <w:rPr>
          <w:rFonts w:ascii="Arial" w:hAnsi="Arial"/>
          <w:b/>
          <w:sz w:val="17"/>
          <w:szCs w:val="17"/>
        </w:rPr>
        <w:t xml:space="preserve">Грайворон</w:t>
      </w:r>
      <w:r>
        <w:rPr>
          <w:rFonts w:ascii="Arial" w:hAnsi="Arial"/>
          <w:b/>
          <w:sz w:val="17"/>
          <w:szCs w:val="17"/>
        </w:rPr>
      </w:r>
      <w:r/>
    </w:p>
    <w:p>
      <w:pPr>
        <w:pStyle w:val="802"/>
        <w:jc w:val="center"/>
      </w:pPr>
      <w:r>
        <w:rPr>
          <w:b/>
          <w:sz w:val="6"/>
          <w:szCs w:val="6"/>
        </w:rPr>
      </w:r>
      <w:r>
        <w:rPr>
          <w:b/>
          <w:sz w:val="6"/>
          <w:szCs w:val="6"/>
        </w:rPr>
      </w:r>
      <w:r/>
    </w:p>
    <w:p>
      <w:pPr>
        <w:pStyle w:val="802"/>
        <w:jc w:val="both"/>
        <w:rPr>
          <w:sz w:val="22"/>
        </w:rPr>
      </w:pPr>
      <w:r>
        <w:rPr>
          <w:b/>
          <w:sz w:val="22"/>
          <w:szCs w:val="18"/>
        </w:rPr>
        <w:t xml:space="preserve">«_06</w:t>
      </w:r>
      <w:r>
        <w:rPr>
          <w:b/>
          <w:sz w:val="22"/>
          <w:szCs w:val="18"/>
        </w:rPr>
        <w:t xml:space="preserve">_</w:t>
      </w:r>
      <w:r>
        <w:rPr>
          <w:b/>
          <w:sz w:val="22"/>
          <w:szCs w:val="18"/>
        </w:rPr>
        <w:t xml:space="preserve"> »  __декабря</w:t>
      </w:r>
      <w:r>
        <w:rPr>
          <w:b/>
          <w:sz w:val="22"/>
          <w:szCs w:val="18"/>
        </w:rPr>
        <w:t xml:space="preserve">__</w:t>
      </w:r>
      <w:r>
        <w:rPr>
          <w:b/>
          <w:sz w:val="22"/>
          <w:szCs w:val="18"/>
        </w:rPr>
        <w:t xml:space="preserve"> 20</w:t>
      </w:r>
      <w:r>
        <w:rPr>
          <w:b/>
          <w:sz w:val="22"/>
          <w:szCs w:val="18"/>
        </w:rPr>
        <w:t xml:space="preserve">22_ г.</w:t>
        <w:tab/>
        <w:tab/>
        <w:tab/>
        <w:tab/>
        <w:tab/>
        <w:tab/>
      </w:r>
      <w:r>
        <w:rPr>
          <w:b/>
          <w:sz w:val="22"/>
          <w:szCs w:val="18"/>
        </w:rPr>
        <w:tab/>
        <w:tab/>
      </w:r>
      <w:r>
        <w:rPr>
          <w:b/>
          <w:sz w:val="22"/>
          <w:szCs w:val="18"/>
        </w:rPr>
        <w:t xml:space="preserve">№</w:t>
      </w:r>
      <w:r>
        <w:rPr>
          <w:b/>
          <w:sz w:val="22"/>
          <w:szCs w:val="18"/>
        </w:rPr>
        <w:t xml:space="preserve"> _841_</w:t>
      </w:r>
      <w:r>
        <w:rPr>
          <w:b/>
          <w:sz w:val="22"/>
          <w:szCs w:val="18"/>
        </w:rPr>
      </w:r>
      <w:r>
        <w:rPr>
          <w:sz w:val="22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7229" w:type="dxa"/>
        <w:tblInd w:w="1384" w:type="dxa"/>
        <w:tblLook w:val="01E0" w:firstRow="1" w:lastRow="1" w:firstColumn="1" w:lastColumn="1" w:noHBand="0" w:noVBand="0"/>
      </w:tblPr>
      <w:tblGrid>
        <w:gridCol w:w="7229"/>
      </w:tblGrid>
      <w:tr>
        <w:trPr>
          <w:trHeight w:val="701"/>
        </w:trPr>
        <w:tc>
          <w:tcPr>
            <w:tcW w:w="7229" w:type="dxa"/>
            <w:textDirection w:val="lrTb"/>
            <w:noWrap w:val="false"/>
          </w:tcPr>
          <w:p>
            <w:pPr>
              <w:ind w:left="-110" w:right="-105"/>
              <w:jc w:val="center"/>
              <w:widowControl w:val="off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О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б утверждении программы комплексного развития систем коммунальной инфраструктуры </w:t>
            </w:r>
            <w:r/>
          </w:p>
          <w:p>
            <w:pPr>
              <w:ind w:left="-110" w:right="-105"/>
              <w:jc w:val="center"/>
              <w:widowControl w:val="off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Грайворонского городского округа на 2019-2038 годы (Актуализация 2023)</w:t>
            </w:r>
            <w:r/>
          </w:p>
        </w:tc>
      </w:tr>
    </w:tbl>
    <w:p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20"/>
        <w:tabs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20"/>
        <w:tabs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37"/>
        <w:ind w:firstLine="708"/>
        <w:jc w:val="both"/>
        <w:spacing w:before="0" w:beforeAutospacing="0" w:after="0" w:afterAutospacing="0"/>
        <w:tabs>
          <w:tab w:val="left" w:pos="993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соответствии с</w:t>
      </w:r>
      <w:r>
        <w:rPr>
          <w:sz w:val="28"/>
          <w:szCs w:val="28"/>
        </w:rPr>
        <w:t xml:space="preserve">о статьей 179.3 Бюджетного кодекса Российской Федерации, Федеральным законом от 06 октября 2003 года № 131-ФЗ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приказом Госстроя от 01 октября 2013 года №359/ГС </w:t>
      </w:r>
      <w:r>
        <w:rPr>
          <w:sz w:val="28"/>
          <w:szCs w:val="28"/>
        </w:rPr>
        <w:br/>
        <w:t xml:space="preserve">«Об утверждении методических рекомендаций по разработке программ комплексного развития систем коммунальной инфраструктуры поселений, городских округов», Уставом Грайворонского городского округа </w:t>
      </w:r>
      <w:r>
        <w:rPr>
          <w:b/>
          <w:spacing w:val="40"/>
          <w:sz w:val="28"/>
          <w:szCs w:val="28"/>
        </w:rPr>
        <w:t xml:space="preserve">постановля</w:t>
      </w:r>
      <w:r>
        <w:rPr>
          <w:b/>
          <w:sz w:val="28"/>
          <w:szCs w:val="28"/>
        </w:rPr>
        <w:t xml:space="preserve">ю:</w:t>
      </w:r>
      <w:r>
        <w:rPr>
          <w:color w:val="000000"/>
          <w:sz w:val="28"/>
          <w:szCs w:val="28"/>
        </w:rPr>
        <w:t xml:space="preserve">:</w:t>
      </w:r>
      <w:r/>
    </w:p>
    <w:p>
      <w:pPr>
        <w:numPr>
          <w:ilvl w:val="0"/>
          <w:numId w:val="4"/>
        </w:numPr>
        <w:ind w:left="0" w:firstLine="708"/>
        <w:jc w:val="both"/>
        <w:tabs>
          <w:tab w:val="left" w:pos="0" w:leader="none"/>
          <w:tab w:val="left" w:pos="180" w:leader="none"/>
          <w:tab w:val="left" w:pos="709" w:leader="none"/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программу комплексного развития систем коммунальной инфраструктуры Грайворонского городского округа на 2019-2038 годы (Актуализация 202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прилагается).         </w:t>
      </w:r>
      <w:r/>
    </w:p>
    <w:p>
      <w:pPr>
        <w:ind w:firstLine="708"/>
        <w:jc w:val="both"/>
        <w:tabs>
          <w:tab w:val="left" w:pos="0" w:leader="none"/>
          <w:tab w:val="left" w:pos="180" w:leader="none"/>
          <w:tab w:val="left" w:pos="709" w:leader="none"/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ab/>
        <w:t xml:space="preserve">Признать утратившим силу постановление администрации Грайворонского городского округа </w:t>
      </w:r>
      <w:r>
        <w:rPr>
          <w:sz w:val="28"/>
          <w:szCs w:val="28"/>
        </w:rPr>
        <w:t xml:space="preserve">от 10 февраля 2021 года №69 </w:t>
      </w:r>
      <w:r>
        <w:rPr>
          <w:sz w:val="28"/>
          <w:szCs w:val="28"/>
        </w:rPr>
        <w:br/>
        <w:t xml:space="preserve">«Об утверждении программы комплексного развития</w:t>
      </w:r>
      <w:r>
        <w:rPr>
          <w:sz w:val="28"/>
          <w:szCs w:val="28"/>
        </w:rPr>
        <w:t xml:space="preserve"> систем коммунальной инфраструктуры Грайворонского городского округа на 2019-2038 годы </w:t>
      </w:r>
      <w:r>
        <w:rPr>
          <w:sz w:val="28"/>
          <w:szCs w:val="28"/>
        </w:rPr>
        <w:br/>
        <w:t xml:space="preserve">(Актуализация 2022)».</w:t>
      </w:r>
      <w:r/>
    </w:p>
    <w:p>
      <w:pPr>
        <w:ind w:firstLine="708"/>
        <w:jc w:val="both"/>
        <w:tabs>
          <w:tab w:val="left" w:pos="1134" w:leader="none"/>
        </w:tabs>
        <w:rPr>
          <w:sz w:val="28"/>
          <w:szCs w:val="28"/>
        </w:rPr>
      </w:pPr>
      <w:r>
        <w:rPr>
          <w:bCs/>
          <w:color w:val="00000A"/>
          <w:sz w:val="28"/>
          <w:szCs w:val="28"/>
        </w:rPr>
        <w:t xml:space="preserve">3</w:t>
      </w:r>
      <w:r>
        <w:rPr>
          <w:bCs/>
          <w:color w:val="00000A"/>
          <w:sz w:val="28"/>
          <w:szCs w:val="28"/>
        </w:rPr>
        <w:t xml:space="preserve">.</w:t>
      </w:r>
      <w:r>
        <w:rPr>
          <w:bCs/>
          <w:color w:val="00000A"/>
          <w:sz w:val="28"/>
          <w:szCs w:val="28"/>
        </w:rPr>
        <w:tab/>
      </w:r>
      <w:r>
        <w:rPr>
          <w:sz w:val="28"/>
          <w:szCs w:val="28"/>
        </w:rPr>
        <w:t xml:space="preserve">Опубликовать настоящее постановление в газете «Родной край»                      и сетевом издании «Родной край 31» (rodkray31.ru), разместить на официальном сайте органов местного самоуправления Грайворонского городского округа (</w:t>
      </w:r>
      <w:r>
        <w:rPr>
          <w:sz w:val="28"/>
          <w:szCs w:val="28"/>
          <w:lang w:val="en-US"/>
        </w:rPr>
        <w:t xml:space="preserve">grajvoron</w:t>
      </w:r>
      <w:r>
        <w:rPr>
          <w:sz w:val="28"/>
          <w:szCs w:val="28"/>
        </w:rPr>
        <w:t xml:space="preserve">-</w:t>
      </w:r>
      <w:r>
        <w:rPr>
          <w:sz w:val="28"/>
          <w:szCs w:val="28"/>
          <w:lang w:val="en-US"/>
        </w:rPr>
        <w:t xml:space="preserve">r</w:t>
      </w:r>
      <w:r>
        <w:rPr>
          <w:sz w:val="28"/>
          <w:szCs w:val="28"/>
        </w:rPr>
        <w:t xml:space="preserve">31.</w:t>
      </w:r>
      <w:r>
        <w:rPr>
          <w:sz w:val="28"/>
          <w:szCs w:val="28"/>
          <w:lang w:val="en-US"/>
        </w:rPr>
        <w:t xml:space="preserve">gosweb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/>
        </w:rPr>
        <w:t xml:space="preserve">gosuslugi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val="en-US"/>
        </w:rPr>
        <w:t xml:space="preserve">ru</w:t>
      </w:r>
      <w:r>
        <w:rPr>
          <w:sz w:val="28"/>
          <w:szCs w:val="28"/>
        </w:rPr>
        <w:t xml:space="preserve">).</w:t>
      </w:r>
      <w:r/>
    </w:p>
    <w:p>
      <w:pPr>
        <w:pStyle w:val="821"/>
        <w:ind w:firstLine="708"/>
        <w:tabs>
          <w:tab w:val="left" w:pos="709" w:leader="none"/>
          <w:tab w:val="left" w:pos="1134" w:leader="none"/>
        </w:tabs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ab/>
        <w:t xml:space="preserve">Контроль за исполнением постановления возложить на заместителя главы администрации городского округа - начальника управления </w:t>
      </w:r>
      <w:r>
        <w:rPr>
          <w:rFonts w:ascii="Times New Roman" w:hAnsi="Times New Roman"/>
          <w:sz w:val="28"/>
          <w:szCs w:val="28"/>
        </w:rPr>
        <w:br/>
        <w:t xml:space="preserve">по строительству, транспорту, ЖКХ и ТЭК Р.Г. Твердуна.</w:t>
      </w:r>
      <w:r/>
    </w:p>
    <w:p>
      <w:pPr>
        <w:ind w:firstLine="708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821"/>
      </w:tblGrid>
      <w:tr>
        <w:trPr/>
        <w:tc>
          <w:tcPr>
            <w:tcW w:w="4926" w:type="dxa"/>
            <w:textDirection w:val="lrTb"/>
            <w:noWrap w:val="false"/>
          </w:tcPr>
          <w:p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Глава администрации </w:t>
            </w:r>
            <w:r/>
          </w:p>
        </w:tc>
        <w:tc>
          <w:tcPr>
            <w:tcW w:w="4821" w:type="dxa"/>
            <w:textDirection w:val="lrTb"/>
            <w:noWrap w:val="false"/>
          </w:tcPr>
          <w:p>
            <w:pPr>
              <w:ind w:right="-114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Г.И. Бондарев</w:t>
            </w:r>
            <w:r/>
          </w:p>
        </w:tc>
      </w:tr>
    </w:tbl>
    <w:p>
      <w:pPr>
        <w:jc w:val="both"/>
      </w:pPr>
      <w:r/>
      <w:bookmarkStart w:id="0" w:name="_GoBack"/>
      <w:r/>
      <w:bookmarkEnd w:id="0"/>
      <w:r/>
      <w:r/>
    </w:p>
    <w:p>
      <w:r/>
      <w:r/>
    </w:p>
    <w:p>
      <w:pPr>
        <w:jc w:val="both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493686" cy="1844702"/>
                <wp:effectExtent l="0" t="0" r="0" b="3175"/>
                <wp:docPr id="2" name="Рисунок 69" descr="ÐÐµÑÐ±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" descr="ÐÐµÑÐ±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496367" cy="1848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117.6pt;height:145.3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tabs>
          <w:tab w:val="left" w:pos="8055" w:leader="none"/>
        </w:tabs>
      </w:pPr>
      <w:r>
        <w:tab/>
      </w:r>
      <w:r/>
    </w:p>
    <w:p>
      <w:r/>
      <w:r/>
    </w:p>
    <w:p>
      <w:r/>
      <w:r/>
    </w:p>
    <w:p>
      <w:pPr>
        <w:rPr>
          <w:b/>
        </w:rPr>
      </w:pPr>
      <w:r>
        <w:rPr>
          <w:b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ПРОГРАММА КОМПЛЕКСНОГО РАЗВИТИЯ СИСТЕМ КОММУНАЛЬНОЙ ИНФРАСТРУКТУРЫ ГРАЙВОРОНСКОГО ГОРОДСКОГО ОКРУГА </w:t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НА 2019-2038 ГОДЫ</w:t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(</w:t>
      </w:r>
      <w:r>
        <w:rPr>
          <w:b/>
          <w:sz w:val="36"/>
          <w:szCs w:val="36"/>
        </w:rPr>
        <w:t xml:space="preserve">Актуализация 202</w:t>
      </w:r>
      <w:r>
        <w:rPr>
          <w:b/>
          <w:sz w:val="36"/>
          <w:szCs w:val="36"/>
        </w:rPr>
        <w:t xml:space="preserve">3</w:t>
      </w:r>
      <w:r>
        <w:rPr>
          <w:sz w:val="36"/>
          <w:szCs w:val="36"/>
        </w:rPr>
        <w:t xml:space="preserve">)</w:t>
      </w:r>
      <w:r/>
    </w:p>
    <w:p>
      <w:r/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Программный документ</w:t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sdt>
      <w:sdtPr>
        <w15:appearance w15:val="boundingBox"/>
        <w:id w:val="360250255"/>
        <w:rPr>
          <w:rFonts w:ascii="Times New Roman" w:hAnsi="Times New Roman" w:cs="Times New Roman" w:eastAsiaTheme="minorHAnsi"/>
          <w:b w:val="0"/>
          <w:bCs w:val="0"/>
          <w:color w:val="auto"/>
          <w:sz w:val="24"/>
          <w:szCs w:val="24"/>
          <w:lang w:eastAsia="en-US"/>
        </w:rPr>
      </w:sdtPr>
      <w:sdtContent>
        <w:p>
          <w:pPr>
            <w:pStyle w:val="848"/>
            <w:pageBreakBefore/>
            <w:spacing w:before="0" w:line="240" w:lineRule="auto"/>
            <w:rPr>
              <w:rFonts w:ascii="Times New Roman" w:hAnsi="Times New Roman" w:cs="Times New Roman"/>
              <w:b w:val="0"/>
              <w:sz w:val="24"/>
              <w:szCs w:val="24"/>
            </w:rPr>
          </w:pPr>
          <w:r>
            <w:rPr>
              <w:rFonts w:ascii="Times New Roman" w:hAnsi="Times New Roman" w:cs="Times New Roman"/>
              <w:b w:val="0"/>
              <w:color w:val="000000" w:themeColor="text1"/>
              <w:sz w:val="24"/>
              <w:szCs w:val="24"/>
            </w:rPr>
            <w:t xml:space="preserve">Оглавление</w:t>
          </w:r>
          <w:r/>
        </w:p>
        <w:p>
          <w:pPr>
            <w:pStyle w:val="863"/>
            <w:tabs>
              <w:tab w:val="right" w:pos="9627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tooltip="#_Toc533014782" w:anchor="_Toc533014782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Введение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_Toc533014782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863"/>
            <w:tabs>
              <w:tab w:val="left" w:pos="440" w:leader="none"/>
              <w:tab w:val="right" w:pos="9627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</w:rPr>
          </w:pPr>
          <w:r/>
          <w:hyperlink w:tooltip="#_Toc533014783" w:anchor="_Toc533014783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Паспорт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</w:hyperlink>
          <w:r/>
          <w:r/>
        </w:p>
        <w:p>
          <w:pPr>
            <w:pStyle w:val="863"/>
            <w:tabs>
              <w:tab w:val="right" w:pos="9627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</w:rPr>
          </w:pPr>
          <w:r/>
          <w:hyperlink w:tooltip="#_Toc533014784" w:anchor="_Toc533014784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2. Характеристика существующего состояния коммунальной инфраструктуры муниципального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_Toc533014784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2</w:t>
          </w:r>
          <w:r/>
        </w:p>
        <w:p>
          <w:pPr>
            <w:pStyle w:val="864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785" w:anchor="_Toc533014785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2.1. Краткий анализ существующего состояния систем ресурсоснабжения муниципального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_Toc533014785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865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786" w:anchor="_Toc533014786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2.1.1. Теплоснабжение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_Toc533014786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865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787" w:anchor="_Toc533014787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2.1.2. Водоснабжение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62</w:t>
          </w:r>
          <w:r/>
        </w:p>
        <w:p>
          <w:pPr>
            <w:pStyle w:val="865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789" w:anchor="_Toc533014789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2.1.3. 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80</w:t>
          </w:r>
          <w:r/>
        </w:p>
        <w:p>
          <w:pPr>
            <w:pStyle w:val="865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790" w:anchor="_Toc533014790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2.1.4. 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</w:t>
            </w:r>
          </w:hyperlink>
          <w:r/>
          <w:r/>
        </w:p>
        <w:p>
          <w:pPr>
            <w:pStyle w:val="865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791" w:anchor="_Toc533014791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2.1.5. Электроснабжение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_Toc533014791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88</w:t>
          </w:r>
          <w:r/>
        </w:p>
        <w:p>
          <w:pPr>
            <w:pStyle w:val="865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792" w:anchor="_Toc533014792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2.1.6. Сбор и утилизация твердых бытовых отходов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_Toc533014792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6</w:t>
          </w:r>
          <w:r/>
        </w:p>
        <w:p>
          <w:pPr>
            <w:pStyle w:val="864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793" w:anchor="_Toc533014793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2.2. Краткий анализ состояния установки приборов учета и энергоресурсосбережения у потребителей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_Toc533014793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863"/>
            <w:tabs>
              <w:tab w:val="right" w:pos="9627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</w:rPr>
          </w:pPr>
          <w:r/>
          <w:hyperlink w:tooltip="#_Toc533014794" w:anchor="_Toc533014794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3. Перспективы развития муниципального образования и прогноз спроса на коммунальные ресурсы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_Toc533014794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9</w:t>
          </w:r>
          <w:r/>
        </w:p>
        <w:p>
          <w:pPr>
            <w:pStyle w:val="864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795" w:anchor="_Toc533014795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3.1 Перспективные показатели развития муниципального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_Toc533014795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/>
          <w:r/>
        </w:p>
        <w:p>
          <w:pPr>
            <w:pStyle w:val="864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796" w:anchor="_Toc533014796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3.2 Прогноз спроса на коммунальные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_Toc533014796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3</w:t>
          </w:r>
          <w:r/>
        </w:p>
        <w:p>
          <w:pPr>
            <w:pStyle w:val="865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797" w:anchor="_Toc533014797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3.2.1. Прогноз спроса на услуги по теплоснабжению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_Toc533014797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3</w:t>
          </w:r>
          <w:r/>
        </w:p>
        <w:p>
          <w:pPr>
            <w:pStyle w:val="865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868" w:anchor="_Toc533014868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3.2.2. Прогноз спроса на услуги водоснабжения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_Toc533014868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75</w:t>
          </w:r>
          <w:r/>
        </w:p>
        <w:p>
          <w:pPr>
            <w:pStyle w:val="865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869" w:anchor="_Toc533014869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3.2.3. Прогноз спроса на услуги водоотведения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_Toc533014869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76</w:t>
          </w:r>
          <w:r/>
        </w:p>
        <w:p>
          <w:pPr>
            <w:pStyle w:val="865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870" w:anchor="_Toc533014870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3.2.4 Прогноз спроса на услуги электроснабжения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_Toc533014870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76</w:t>
          </w:r>
          <w:r/>
        </w:p>
        <w:p>
          <w:pPr>
            <w:pStyle w:val="865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871" w:anchor="_Toc533014871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3.2.5 Прогноз спроса на услуги газоснабжения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_Toc533014871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6</w:t>
          </w:r>
          <w:r/>
        </w:p>
        <w:p>
          <w:pPr>
            <w:pStyle w:val="865"/>
            <w:tabs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872" w:anchor="_Toc533014872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3.2.6 Прогноз объёма утилизации твердых бытовых отходов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_Toc533014872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6</w:t>
          </w:r>
          <w:r/>
        </w:p>
        <w:p>
          <w:pPr>
            <w:pStyle w:val="863"/>
            <w:tabs>
              <w:tab w:val="right" w:pos="9627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</w:rPr>
          </w:pPr>
          <w:r/>
          <w:hyperlink w:tooltip="#_Toc533014873" w:anchor="_Toc533014873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4. Целевые показатели развития коммунальной инфраструктуры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_Toc533014873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7</w:t>
          </w:r>
          <w:r/>
        </w:p>
        <w:p>
          <w:pPr>
            <w:pStyle w:val="863"/>
            <w:tabs>
              <w:tab w:val="left" w:pos="440" w:leader="none"/>
              <w:tab w:val="right" w:pos="9627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</w:rPr>
          </w:pPr>
          <w:r/>
          <w:hyperlink w:tooltip="#_Toc533014874" w:anchor="_Toc533014874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5.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Программа инвестиционных проектов, обеспечивающих достижение целевых показателей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_Toc533014874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9</w:t>
          </w:r>
          <w:r/>
        </w:p>
        <w:p>
          <w:pPr>
            <w:pStyle w:val="863"/>
            <w:tabs>
              <w:tab w:val="left" w:pos="440" w:leader="none"/>
              <w:tab w:val="right" w:pos="9627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</w:rPr>
          </w:pPr>
          <w:r/>
          <w:hyperlink w:tooltip="#_Toc533014875" w:anchor="_Toc533014875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6.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Источники инвестиций, тарифы и доступность программы для населения.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_Toc533014875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8</w:t>
          </w:r>
          <w:r/>
        </w:p>
        <w:p>
          <w:pPr>
            <w:pStyle w:val="864"/>
            <w:tabs>
              <w:tab w:val="left" w:pos="880" w:leader="none"/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876" w:anchor="_Toc533014876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6.1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Объемы и источники инвестиций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_Toc533014876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8</w:t>
          </w:r>
          <w:r/>
        </w:p>
        <w:p>
          <w:pPr>
            <w:pStyle w:val="864"/>
            <w:tabs>
              <w:tab w:val="left" w:pos="880" w:leader="none"/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877" w:anchor="_Toc533014877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6.2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Краткое описание форм организации проектов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_Toc533014877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8</w:t>
          </w:r>
          <w:r/>
        </w:p>
        <w:p>
          <w:pPr>
            <w:pStyle w:val="864"/>
            <w:tabs>
              <w:tab w:val="left" w:pos="880" w:leader="none"/>
              <w:tab w:val="right" w:pos="9627" w:leader="dot"/>
            </w:tabs>
            <w:rPr>
              <w:rFonts w:ascii="Times New Roman" w:hAnsi="Times New Roman" w:cs="Times New Roman"/>
              <w:sz w:val="24"/>
              <w:szCs w:val="24"/>
            </w:rPr>
          </w:pPr>
          <w:r/>
          <w:hyperlink w:tooltip="#_Toc533014878" w:anchor="_Toc533014878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6.3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Прогноз расходов населения на коммунальные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_Toc533014878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92</w:t>
          </w:r>
          <w:r/>
        </w:p>
        <w:p>
          <w:pPr>
            <w:pStyle w:val="863"/>
            <w:tabs>
              <w:tab w:val="left" w:pos="440" w:leader="none"/>
              <w:tab w:val="right" w:pos="9627" w:leader="dot"/>
            </w:tabs>
            <w:rPr>
              <w:rFonts w:ascii="Times New Roman" w:hAnsi="Times New Roman" w:cs="Times New Roman" w:eastAsiaTheme="minorEastAsia"/>
              <w:sz w:val="24"/>
              <w:szCs w:val="24"/>
              <w:lang w:eastAsia="ru-RU"/>
            </w:rPr>
          </w:pPr>
          <w:r/>
          <w:hyperlink w:tooltip="#_Toc533014879" w:anchor="_Toc533014879" w:history="1"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7.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849"/>
                <w:rFonts w:ascii="Times New Roman" w:hAnsi="Times New Roman" w:cs="Times New Roman"/>
                <w:sz w:val="24"/>
                <w:szCs w:val="24"/>
              </w:rPr>
              <w:t xml:space="preserve">Управление программой.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_Toc533014879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  <w:r>
            <w:rPr>
              <w:rFonts w:ascii="Times New Roman" w:hAnsi="Times New Roman" w:cs="Times New Roman"/>
              <w:sz w:val="24"/>
              <w:szCs w:val="24"/>
            </w:rPr>
            <w:t xml:space="preserve">92</w:t>
          </w:r>
          <w:r/>
        </w:p>
        <w:p>
          <w:r>
            <w:rPr>
              <w:bCs/>
            </w:rPr>
            <w:fldChar w:fldCharType="end"/>
          </w:r>
          <w:r/>
        </w:p>
      </w:sdtContent>
    </w:sdt>
    <w:p>
      <w:pPr>
        <w:rPr>
          <w:rFonts w:eastAsiaTheme="majorEastAsia"/>
          <w:b/>
          <w:bCs/>
          <w:color w:val="000000"/>
          <w:sz w:val="28"/>
          <w:szCs w:val="28"/>
          <w:lang w:eastAsia="en-US"/>
        </w:rPr>
      </w:pPr>
      <w:r/>
      <w:bookmarkStart w:id="1" w:name="_Toc533014782"/>
      <w:r>
        <w:rPr>
          <w:color w:val="000000" w:themeColor="text1"/>
        </w:rPr>
        <w:br w:type="page"/>
      </w:r>
      <w:r/>
    </w:p>
    <w:p>
      <w:pPr>
        <w:pStyle w:val="803"/>
        <w:jc w:val="center"/>
        <w:spacing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</w:rPr>
        <w:t xml:space="preserve">Введение</w:t>
      </w:r>
      <w:bookmarkEnd w:id="1"/>
      <w:r/>
      <w:r/>
    </w:p>
    <w:p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Программа комплексного развития систем коммунальной инфраструктуры Грайворонского городского округа Белгородской области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2019-2038 годы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- Программа) разработана в соответствии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требованиями Градостроительного кодекса Российской Федерации,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а также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Федерального закона от 06</w:t>
      </w:r>
      <w:r>
        <w:rPr>
          <w:sz w:val="28"/>
          <w:szCs w:val="28"/>
        </w:rPr>
        <w:t xml:space="preserve"> октября </w:t>
      </w:r>
      <w:r>
        <w:rPr>
          <w:sz w:val="28"/>
          <w:szCs w:val="28"/>
        </w:rPr>
        <w:t xml:space="preserve">2003 г</w:t>
      </w:r>
      <w:r>
        <w:rPr>
          <w:sz w:val="28"/>
          <w:szCs w:val="28"/>
        </w:rPr>
        <w:t xml:space="preserve">ода</w:t>
      </w:r>
      <w:r>
        <w:rPr>
          <w:sz w:val="28"/>
          <w:szCs w:val="28"/>
        </w:rPr>
        <w:t xml:space="preserve"> № 131-ФЗ «Об общих принципах организации местного самоуправления в Российской Федерации», Генерального плана муниципального образования.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Программа комплексного развития систем коммунальной инфраструктуры городского округа – документ, устанавливающий перечень мероприятий по строительству, реконструкции систем электро-, газо-, тепло-, водоснабжения и водоотв</w:t>
      </w:r>
      <w:r>
        <w:rPr>
          <w:sz w:val="28"/>
          <w:szCs w:val="28"/>
        </w:rPr>
        <w:t xml:space="preserve">едения, объектов, используемых для утилизации, обезвреживания и захоронения твердых бытовых отходов, которые предусмотрены соответственно схемами и программами развития единой национальной (общероссийской) электрической сети на долгосрочный период, генерал</w:t>
      </w:r>
      <w:r>
        <w:rPr>
          <w:sz w:val="28"/>
          <w:szCs w:val="28"/>
        </w:rPr>
        <w:t xml:space="preserve">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отходами.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Система коммунальной инфраструктуры –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</w:t>
      </w:r>
      <w:r>
        <w:rPr>
          <w:sz w:val="28"/>
          <w:szCs w:val="28"/>
        </w:rPr>
        <w:t xml:space="preserve">оснабжения и водоотведения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капитального строительства, а также объекты, используемые для утилизации, обезвреживания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захоронения твердых бытовых отходов.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 основании утвержденной Программы орган местного самоуправления может определять порядок и условия разработки производственных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инвестиционных программ о</w:t>
      </w:r>
      <w:r>
        <w:rPr>
          <w:sz w:val="28"/>
          <w:szCs w:val="28"/>
        </w:rPr>
        <w:t xml:space="preserve">рганизаций коммунального комплекса с учетом местных особенностей и муниципальных правовых актов. Программа является базовым документом для разработки инвестиционных и производственных программ организаций коммунального комплекса муниципального образования.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Утвержденная П</w:t>
      </w:r>
      <w:r>
        <w:rPr>
          <w:sz w:val="28"/>
          <w:szCs w:val="28"/>
        </w:rPr>
        <w:t xml:space="preserve">рограмма является документом, на основании которого органы местного самоуправления и организации коммунального комплекса принимают решение о подготовке проектной документации на различные виды объектов капитального строительства (объекты производственного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назначения – головные объекты систем коммунальной инфраструктуры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линейные объекты систем коммунальной инфраструктуры), о подготовке проектной документации в отношении отдельных этапов строительства, </w:t>
      </w:r>
      <w:r>
        <w:rPr>
          <w:sz w:val="28"/>
          <w:szCs w:val="28"/>
        </w:rPr>
        <w:t xml:space="preserve">реконструкции и капитального ремонта перечисленных объектов капитального строительства.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Логика разработки Программы базируется на необходимости достижения целевых уровней индикаторов состояния коммунальной инфраструктуры муниципального образования, которые одновременно являются индикаторами выполнения про</w:t>
      </w:r>
      <w:r>
        <w:rPr>
          <w:sz w:val="28"/>
          <w:szCs w:val="28"/>
        </w:rPr>
        <w:t xml:space="preserve">изводственных и инвестиционных программ организациями коммунального комплекса при соблюдении ограничений по финансовой нагрузке на областной и местный бюджет, то есть при обеспечении не только технической, но и экономической доступности коммунальных услуг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для потребителей муниципального образования. Комм</w:t>
      </w:r>
      <w:r>
        <w:rPr>
          <w:sz w:val="28"/>
          <w:szCs w:val="28"/>
        </w:rPr>
        <w:t xml:space="preserve">унальные системы – капиталоёмкие и масштабные. Отсюда достижение существенных изменений параметров их функционирования за ограниченный интервал времени затруднительно. В виду этого Программа рассматривается на длительном временном интервале (до 2038 года).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Целью разработки Программы является обеспечение надежности, качества и эффективности работы коммунального комплекса в соответствии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планируемыми потребностями развития муниципального образования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период 2019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2038 г</w:t>
      </w:r>
      <w:r>
        <w:rPr>
          <w:sz w:val="28"/>
          <w:szCs w:val="28"/>
        </w:rPr>
        <w:t xml:space="preserve">одов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Программа представляет собой увязанный по задачам, ресурсам и срокам осуществления перечень мероприятий, направленных на обеспечение функционирования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развития коммунальной инфраструктуры муниципального образования.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Основными задачами Программы являются:</w:t>
      </w:r>
      <w:r/>
    </w:p>
    <w:p>
      <w:pPr>
        <w:pStyle w:val="822"/>
        <w:numPr>
          <w:ilvl w:val="0"/>
          <w:numId w:val="8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инженерно-техническая оптимизация систем коммунальной инфраструктуры муниципального образования;</w:t>
      </w:r>
      <w:r/>
    </w:p>
    <w:p>
      <w:pPr>
        <w:pStyle w:val="822"/>
        <w:numPr>
          <w:ilvl w:val="0"/>
          <w:numId w:val="8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взаимоувязанное по срокам и объемам финансирования перспективное планирование развития систем коммунальной инфраструктуры муниципального образования;</w:t>
      </w:r>
      <w:r/>
    </w:p>
    <w:p>
      <w:pPr>
        <w:pStyle w:val="822"/>
        <w:numPr>
          <w:ilvl w:val="0"/>
          <w:numId w:val="8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разработка мероприятий по комплексной реконструкции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модернизации систем коммунальной инфраструктуры муниципального образования;</w:t>
      </w:r>
      <w:r/>
    </w:p>
    <w:p>
      <w:pPr>
        <w:pStyle w:val="822"/>
        <w:numPr>
          <w:ilvl w:val="0"/>
          <w:numId w:val="8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повышение надежности коммунальных систем и качества коммунальных услуг муниципального образования;</w:t>
      </w:r>
      <w:r/>
    </w:p>
    <w:p>
      <w:pPr>
        <w:pStyle w:val="822"/>
        <w:numPr>
          <w:ilvl w:val="0"/>
          <w:numId w:val="8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механизмов развития энергосбережения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повышение энергоэффективности коммунальной инфраструктуры муниципального образования;</w:t>
      </w:r>
      <w:r/>
    </w:p>
    <w:p>
      <w:pPr>
        <w:pStyle w:val="822"/>
        <w:numPr>
          <w:ilvl w:val="0"/>
          <w:numId w:val="8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повышение инвестиционной привлекательности коммунальной инфраструктуры муниципального образования;</w:t>
      </w:r>
      <w:r/>
    </w:p>
    <w:p>
      <w:pPr>
        <w:pStyle w:val="822"/>
        <w:numPr>
          <w:ilvl w:val="0"/>
          <w:numId w:val="8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обеспечение сбалансированности интересов субъектов коммунальной инфраструктуры и потребителей муниципального образования.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и реализация Программы базируется на следующих принципах:</w:t>
      </w:r>
      <w:r/>
    </w:p>
    <w:p>
      <w:pPr>
        <w:pStyle w:val="822"/>
        <w:numPr>
          <w:ilvl w:val="0"/>
          <w:numId w:val="9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целевом – мероприятия и решения Программы должны обеспечивать достижение поставленных целей;</w:t>
      </w:r>
      <w:r/>
    </w:p>
    <w:p>
      <w:pPr>
        <w:pStyle w:val="822"/>
        <w:numPr>
          <w:ilvl w:val="0"/>
          <w:numId w:val="9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системности – рассмотрение всех субъектов коммунальной инфраструктуры муниципального образования как единой системы с учетом взаимного влияния всех элементов Программы друг на друга;</w:t>
      </w:r>
      <w:r/>
    </w:p>
    <w:p>
      <w:pPr>
        <w:pStyle w:val="822"/>
        <w:numPr>
          <w:ilvl w:val="0"/>
          <w:numId w:val="9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комплексности – формирование Программы в увязке с различными целевыми программами (областными, муниципальными, предприятий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организаций), реализуемыми на территории муниципального образования.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Перспективные показатели развития муниципального образования являются основой для разработки Программы и формируются на основании:</w:t>
      </w:r>
      <w:r/>
    </w:p>
    <w:p>
      <w:pPr>
        <w:pStyle w:val="822"/>
        <w:numPr>
          <w:ilvl w:val="0"/>
          <w:numId w:val="10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схемы территориального планирования муниципального образования,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том числе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схемы границ земельных участков, которые предоставлены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для размещения объектов капитального строительства местного значения,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или на которых размещаются объекты капитального строительства, находящиеся в собственности муниципального образования, а также границ зон планирования, размещения объектов капитального строительства местного значения;</w:t>
      </w:r>
      <w:r/>
    </w:p>
    <w:p>
      <w:pPr>
        <w:pStyle w:val="822"/>
        <w:numPr>
          <w:ilvl w:val="0"/>
          <w:numId w:val="10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генерального плана муниципального образования;</w:t>
      </w:r>
      <w:r/>
    </w:p>
    <w:p>
      <w:pPr>
        <w:pStyle w:val="822"/>
        <w:numPr>
          <w:ilvl w:val="0"/>
          <w:numId w:val="10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правил землепользования и застройки муниципального образования;</w:t>
      </w:r>
      <w:r/>
    </w:p>
    <w:p>
      <w:pPr>
        <w:pStyle w:val="822"/>
        <w:numPr>
          <w:ilvl w:val="0"/>
          <w:numId w:val="10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схемы теплоснабжения муниципального образования;</w:t>
      </w:r>
      <w:r/>
    </w:p>
    <w:p>
      <w:pPr>
        <w:pStyle w:val="822"/>
        <w:numPr>
          <w:ilvl w:val="0"/>
          <w:numId w:val="10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схемы водоснабжения и водоотведения муниципального образования.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Программа разработана в соответствии со следующими нормативно-правовыми актами и документами:</w:t>
      </w:r>
      <w:r/>
    </w:p>
    <w:p>
      <w:pPr>
        <w:pStyle w:val="822"/>
        <w:numPr>
          <w:ilvl w:val="0"/>
          <w:numId w:val="11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едеральным законом от 21</w:t>
      </w:r>
      <w:r>
        <w:rPr>
          <w:sz w:val="28"/>
          <w:szCs w:val="28"/>
        </w:rPr>
        <w:t xml:space="preserve"> июля </w:t>
      </w:r>
      <w:r>
        <w:rPr>
          <w:sz w:val="28"/>
          <w:szCs w:val="28"/>
        </w:rPr>
        <w:t xml:space="preserve">2007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 185-ФЗ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ред</w:t>
      </w:r>
      <w:r>
        <w:rPr>
          <w:sz w:val="28"/>
          <w:szCs w:val="28"/>
        </w:rPr>
        <w:t xml:space="preserve">акции Федерального закона</w:t>
      </w:r>
      <w:r>
        <w:rPr>
          <w:sz w:val="28"/>
          <w:szCs w:val="28"/>
        </w:rPr>
        <w:t xml:space="preserve"> от 14</w:t>
      </w:r>
      <w:r>
        <w:rPr>
          <w:sz w:val="28"/>
          <w:szCs w:val="28"/>
        </w:rPr>
        <w:t xml:space="preserve"> марта </w:t>
      </w:r>
      <w:r>
        <w:rPr>
          <w:sz w:val="28"/>
          <w:szCs w:val="28"/>
        </w:rPr>
        <w:t xml:space="preserve">2022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) «О Фонде содействия реформированию жилищно-коммунального хозяйства»;</w:t>
      </w:r>
      <w:r/>
    </w:p>
    <w:p>
      <w:pPr>
        <w:pStyle w:val="822"/>
        <w:numPr>
          <w:ilvl w:val="0"/>
          <w:numId w:val="11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казом Президента Российской Федерации от 04</w:t>
      </w:r>
      <w:r>
        <w:rPr>
          <w:sz w:val="28"/>
          <w:szCs w:val="28"/>
        </w:rPr>
        <w:t xml:space="preserve"> июня </w:t>
      </w:r>
      <w:r>
        <w:rPr>
          <w:sz w:val="28"/>
          <w:szCs w:val="28"/>
        </w:rPr>
        <w:t xml:space="preserve">2008 </w:t>
      </w:r>
      <w:r>
        <w:rPr>
          <w:sz w:val="28"/>
          <w:szCs w:val="28"/>
        </w:rPr>
        <w:t xml:space="preserve">года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 889 «О некоторых мерах по повышению энергетической и экологической эффективности российской экономики»;</w:t>
      </w:r>
      <w:r/>
    </w:p>
    <w:p>
      <w:pPr>
        <w:pStyle w:val="822"/>
        <w:numPr>
          <w:ilvl w:val="0"/>
          <w:numId w:val="11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постановлением Правительства Р</w:t>
      </w:r>
      <w:r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едерации</w:t>
      </w:r>
      <w:r>
        <w:rPr>
          <w:sz w:val="28"/>
          <w:szCs w:val="28"/>
        </w:rPr>
        <w:t xml:space="preserve"> от 23</w:t>
      </w:r>
      <w:r>
        <w:rPr>
          <w:sz w:val="28"/>
          <w:szCs w:val="28"/>
        </w:rPr>
        <w:t xml:space="preserve"> июля </w:t>
      </w:r>
      <w:r>
        <w:rPr>
          <w:sz w:val="28"/>
          <w:szCs w:val="28"/>
        </w:rPr>
        <w:t xml:space="preserve">2007</w:t>
      </w:r>
      <w:r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№ 464 (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ред</w:t>
      </w:r>
      <w:r>
        <w:rPr>
          <w:sz w:val="28"/>
          <w:szCs w:val="28"/>
        </w:rPr>
        <w:t xml:space="preserve">акции Федерального закона</w:t>
      </w:r>
      <w:r>
        <w:rPr>
          <w:sz w:val="28"/>
          <w:szCs w:val="28"/>
        </w:rPr>
        <w:t xml:space="preserve"> от 16</w:t>
      </w:r>
      <w:r>
        <w:rPr>
          <w:sz w:val="28"/>
          <w:szCs w:val="28"/>
        </w:rPr>
        <w:t xml:space="preserve"> июля </w:t>
      </w:r>
      <w:r>
        <w:rPr>
          <w:sz w:val="28"/>
          <w:szCs w:val="28"/>
        </w:rPr>
        <w:t xml:space="preserve">2009 г</w:t>
      </w:r>
      <w:r>
        <w:rPr>
          <w:sz w:val="28"/>
          <w:szCs w:val="28"/>
        </w:rPr>
        <w:t xml:space="preserve">ода</w:t>
      </w:r>
      <w:r>
        <w:rPr>
          <w:sz w:val="28"/>
          <w:szCs w:val="28"/>
        </w:rPr>
        <w:t xml:space="preserve">)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утверждении Правил финансирования инвестиционных программ организаций коммунального комплекса - производителей товаров и услуг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сфере электро- и (или) теплоснабжения»;</w:t>
      </w:r>
      <w:r/>
    </w:p>
    <w:p>
      <w:pPr>
        <w:pStyle w:val="822"/>
        <w:numPr>
          <w:ilvl w:val="0"/>
          <w:numId w:val="11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постановлением Правительства Р</w:t>
      </w:r>
      <w:r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едерации</w:t>
      </w:r>
      <w:r>
        <w:rPr>
          <w:sz w:val="28"/>
          <w:szCs w:val="28"/>
        </w:rPr>
        <w:t xml:space="preserve"> от 06</w:t>
      </w:r>
      <w:r>
        <w:rPr>
          <w:sz w:val="28"/>
          <w:szCs w:val="28"/>
        </w:rPr>
        <w:t xml:space="preserve"> мая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2011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 354 «О предоставлении коммунальных услуг собственникам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пользователям помещений в многоквартирных домах и жилых домов»;</w:t>
      </w:r>
      <w:r/>
    </w:p>
    <w:p>
      <w:pPr>
        <w:pStyle w:val="822"/>
        <w:numPr>
          <w:ilvl w:val="0"/>
          <w:numId w:val="11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постановлением Правительства </w:t>
      </w:r>
      <w:r>
        <w:rPr>
          <w:sz w:val="28"/>
          <w:szCs w:val="28"/>
        </w:rPr>
        <w:t xml:space="preserve">Российской Федерации</w:t>
      </w:r>
      <w:r>
        <w:rPr>
          <w:sz w:val="28"/>
          <w:szCs w:val="28"/>
        </w:rPr>
        <w:t xml:space="preserve"> от 27</w:t>
      </w:r>
      <w:r>
        <w:rPr>
          <w:sz w:val="28"/>
          <w:szCs w:val="28"/>
        </w:rPr>
        <w:t xml:space="preserve"> августа </w:t>
      </w:r>
      <w:r>
        <w:rPr>
          <w:sz w:val="28"/>
          <w:szCs w:val="28"/>
        </w:rPr>
        <w:t xml:space="preserve">2012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 857 (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ред</w:t>
      </w:r>
      <w:r>
        <w:rPr>
          <w:sz w:val="28"/>
          <w:szCs w:val="28"/>
        </w:rPr>
        <w:t xml:space="preserve">акции постановления Правительства </w:t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27</w:t>
      </w:r>
      <w:r>
        <w:rPr>
          <w:sz w:val="28"/>
          <w:szCs w:val="28"/>
        </w:rPr>
        <w:t xml:space="preserve"> февраля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2017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) «Об особенностях применения Правил предоставления коммунальных услуг собственникам и пользователям помещений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многоквартирных домах и жилых домов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;</w:t>
      </w:r>
      <w:r/>
    </w:p>
    <w:p>
      <w:pPr>
        <w:pStyle w:val="822"/>
        <w:numPr>
          <w:ilvl w:val="0"/>
          <w:numId w:val="11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приказом Министерства регионального развития </w:t>
      </w:r>
      <w:r>
        <w:rPr>
          <w:sz w:val="28"/>
          <w:szCs w:val="28"/>
        </w:rPr>
        <w:t xml:space="preserve">Российской Федерации</w:t>
      </w:r>
      <w:r>
        <w:rPr>
          <w:sz w:val="28"/>
          <w:szCs w:val="28"/>
        </w:rPr>
        <w:t xml:space="preserve"> от 14</w:t>
      </w:r>
      <w:r>
        <w:rPr>
          <w:sz w:val="28"/>
          <w:szCs w:val="28"/>
        </w:rPr>
        <w:t xml:space="preserve"> апреля </w:t>
      </w:r>
      <w:r>
        <w:rPr>
          <w:sz w:val="28"/>
          <w:szCs w:val="28"/>
        </w:rPr>
        <w:t xml:space="preserve">2008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 48 «Об утверждении Методики проведения мониторинга выполнения производственных и инвестиционных программ организаций коммунального комплекса»;</w:t>
      </w:r>
      <w:r/>
    </w:p>
    <w:p>
      <w:pPr>
        <w:pStyle w:val="822"/>
        <w:numPr>
          <w:ilvl w:val="0"/>
          <w:numId w:val="11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инвестиционными программами организаций коммунального комплекса, расположенных на территории муниципального образования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(или) осуществляющих деятельность на территории муниципального образования;</w:t>
      </w:r>
      <w:r/>
    </w:p>
    <w:p>
      <w:pPr>
        <w:pStyle w:val="822"/>
        <w:numPr>
          <w:ilvl w:val="0"/>
          <w:numId w:val="11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программами энергосбережения и повышения энергетической эффективности организаций коммунального комплекса, расположенных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территории муниципального образования и (или) осуществляющих деятельность на территории муниципального образования (при их наличии);</w:t>
      </w:r>
      <w:r/>
    </w:p>
    <w:p>
      <w:pPr>
        <w:pStyle w:val="822"/>
        <w:numPr>
          <w:ilvl w:val="0"/>
          <w:numId w:val="11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методическими рекомендациями по разработке программ комплексного развития систем коммунальной инфраструктуры населенных пунктов, городских округов, утвержденные Приказом Госстроя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01</w:t>
      </w:r>
      <w:r>
        <w:rPr>
          <w:sz w:val="28"/>
          <w:szCs w:val="28"/>
        </w:rPr>
        <w:t xml:space="preserve"> октября </w:t>
      </w:r>
      <w:r>
        <w:rPr>
          <w:sz w:val="28"/>
          <w:szCs w:val="28"/>
        </w:rPr>
        <w:t xml:space="preserve">2013 г</w:t>
      </w:r>
      <w:r>
        <w:rPr>
          <w:sz w:val="28"/>
          <w:szCs w:val="28"/>
        </w:rPr>
        <w:t xml:space="preserve">ода</w:t>
      </w:r>
      <w:r>
        <w:rPr>
          <w:sz w:val="28"/>
          <w:szCs w:val="28"/>
        </w:rPr>
        <w:t xml:space="preserve"> № 359/ГС;</w:t>
      </w:r>
      <w:r/>
    </w:p>
    <w:p>
      <w:pPr>
        <w:pStyle w:val="822"/>
        <w:numPr>
          <w:ilvl w:val="0"/>
          <w:numId w:val="11"/>
        </w:numPr>
        <w:ind w:left="0"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постановлением Правительства Российской Федерации от 14 июня 2013 г</w:t>
      </w:r>
      <w:r>
        <w:rPr>
          <w:sz w:val="28"/>
          <w:szCs w:val="28"/>
        </w:rPr>
        <w:t xml:space="preserve">ода </w:t>
      </w:r>
      <w:r>
        <w:rPr>
          <w:sz w:val="28"/>
          <w:szCs w:val="28"/>
        </w:rPr>
        <w:t xml:space="preserve">№ 502 «Об утверждении требований к программам комплексного развития систем коммунальной инфраструктуры поселений, городских округов».</w:t>
      </w:r>
      <w:r/>
    </w:p>
    <w:p>
      <w:pPr>
        <w:pStyle w:val="822"/>
        <w:ind w:left="1287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tabs>
          <w:tab w:val="left" w:pos="993" w:leader="none"/>
        </w:tabs>
        <w:rPr>
          <w:sz w:val="28"/>
          <w:szCs w:val="28"/>
        </w:rPr>
        <w:sectPr>
          <w:headerReference w:type="default" r:id="rId9"/>
          <w:headerReference w:type="first" r:id="rId10"/>
          <w:footerReference w:type="default" r:id="rId12"/>
          <w:footnotePr/>
          <w:endnotePr/>
          <w:type w:val="nextPage"/>
          <w:pgSz w:w="11906" w:h="16838" w:orient="portrait"/>
          <w:pgMar w:top="0" w:right="851" w:bottom="1134" w:left="1418" w:header="708" w:footer="708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/>
    </w:p>
    <w:p>
      <w:pPr>
        <w:pStyle w:val="803"/>
        <w:numPr>
          <w:ilvl w:val="0"/>
          <w:numId w:val="20"/>
        </w:numPr>
        <w:ind w:left="0" w:firstLine="0"/>
        <w:jc w:val="center"/>
        <w:spacing w:before="0"/>
        <w:rPr>
          <w:rFonts w:ascii="Times New Roman" w:hAnsi="Times New Roman" w:cs="Times New Roman"/>
          <w:color w:val="000000"/>
        </w:rPr>
      </w:pPr>
      <w:r/>
      <w:bookmarkStart w:id="2" w:name="_Toc533014783"/>
      <w:r>
        <w:rPr>
          <w:rFonts w:ascii="Times New Roman" w:hAnsi="Times New Roman" w:cs="Times New Roman"/>
          <w:color w:val="000000" w:themeColor="text1"/>
        </w:rPr>
        <w:t xml:space="preserve">Паспорт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программы</w:t>
      </w:r>
      <w:bookmarkEnd w:id="2"/>
      <w:r/>
      <w:r/>
    </w:p>
    <w:p>
      <w:pPr>
        <w:rPr>
          <w:lang w:eastAsia="en-US"/>
        </w:rPr>
      </w:pPr>
      <w:r>
        <w:rPr>
          <w:lang w:eastAsia="en-US"/>
        </w:rPr>
      </w:r>
      <w:r/>
    </w:p>
    <w:tbl>
      <w:tblPr>
        <w:tblStyle w:val="832"/>
        <w:tblW w:w="0" w:type="auto"/>
        <w:tblInd w:w="392" w:type="dxa"/>
        <w:tblLook w:val="04A0" w:firstRow="1" w:lastRow="0" w:firstColumn="1" w:lastColumn="0" w:noHBand="0" w:noVBand="1"/>
      </w:tblPr>
      <w:tblGrid>
        <w:gridCol w:w="2551"/>
        <w:gridCol w:w="6628"/>
      </w:tblGrid>
      <w:tr>
        <w:trPr/>
        <w:tc>
          <w:tcPr>
            <w:tcW w:w="255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Программы</w:t>
            </w:r>
            <w:r/>
          </w:p>
        </w:tc>
        <w:tc>
          <w:tcPr>
            <w:tcW w:w="662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Программа комплексного развития систем коммунальной инфраструктуры Грайворонского городского округа на 2019-2038 годы</w:t>
            </w:r>
            <w:r/>
          </w:p>
        </w:tc>
      </w:tr>
      <w:tr>
        <w:trPr/>
        <w:tc>
          <w:tcPr>
            <w:tcW w:w="255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Основание 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разработки Программы</w:t>
            </w:r>
            <w:r/>
          </w:p>
        </w:tc>
        <w:tc>
          <w:tcPr>
            <w:tcW w:w="6628" w:type="dxa"/>
            <w:textDirection w:val="lrTb"/>
            <w:noWrap w:val="false"/>
          </w:tcPr>
          <w:p>
            <w:pPr>
              <w:pStyle w:val="822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Градостроительный кодекс Российской Федерации;</w:t>
            </w:r>
            <w:r/>
          </w:p>
          <w:p>
            <w:pPr>
              <w:pStyle w:val="822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 закон от 06</w:t>
            </w:r>
            <w:r>
              <w:rPr>
                <w:sz w:val="28"/>
                <w:szCs w:val="28"/>
              </w:rPr>
              <w:t xml:space="preserve"> октября </w:t>
            </w:r>
            <w:r>
              <w:rPr>
                <w:sz w:val="28"/>
                <w:szCs w:val="28"/>
              </w:rPr>
              <w:t xml:space="preserve">2003</w:t>
            </w:r>
            <w:r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  <w:szCs w:val="28"/>
              </w:rPr>
              <w:t xml:space="preserve"> №131-ФЗ «Об общих принципах организации местного самоуправления в Российской Федерации»</w:t>
            </w:r>
            <w:r>
              <w:rPr>
                <w:sz w:val="28"/>
                <w:szCs w:val="28"/>
              </w:rPr>
              <w:t xml:space="preserve">;</w:t>
            </w:r>
            <w:r/>
          </w:p>
          <w:p>
            <w:pPr>
              <w:pStyle w:val="822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 закон от 27</w:t>
            </w:r>
            <w:r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 xml:space="preserve">2010</w:t>
            </w:r>
            <w:r>
              <w:rPr>
                <w:sz w:val="28"/>
                <w:szCs w:val="28"/>
              </w:rPr>
              <w:t xml:space="preserve"> года </w:t>
            </w:r>
            <w:r>
              <w:rPr>
                <w:sz w:val="28"/>
                <w:szCs w:val="28"/>
              </w:rPr>
              <w:t xml:space="preserve">№190-ФЗ «О теплоснабжении»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</w:t>
            </w:r>
            <w:r>
              <w:rPr>
                <w:sz w:val="28"/>
                <w:szCs w:val="28"/>
              </w:rPr>
              <w:t xml:space="preserve">в редакции Федерального закона </w:t>
            </w:r>
            <w:r>
              <w:rPr>
                <w:sz w:val="28"/>
                <w:szCs w:val="28"/>
              </w:rPr>
              <w:t xml:space="preserve">от 01</w:t>
            </w:r>
            <w:r>
              <w:rPr>
                <w:sz w:val="28"/>
                <w:szCs w:val="28"/>
              </w:rPr>
              <w:t xml:space="preserve"> мая </w:t>
            </w:r>
            <w:r>
              <w:rPr>
                <w:sz w:val="28"/>
                <w:szCs w:val="28"/>
              </w:rPr>
              <w:t xml:space="preserve">2022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</w:t>
            </w:r>
            <w:r>
              <w:rPr>
                <w:sz w:val="28"/>
                <w:szCs w:val="28"/>
              </w:rPr>
              <w:t xml:space="preserve">ода</w:t>
            </w:r>
            <w:r>
              <w:rPr>
                <w:sz w:val="28"/>
                <w:szCs w:val="28"/>
              </w:rPr>
              <w:t xml:space="preserve">)</w:t>
            </w:r>
            <w:r>
              <w:rPr>
                <w:sz w:val="28"/>
                <w:szCs w:val="28"/>
              </w:rPr>
              <w:t xml:space="preserve">;</w:t>
            </w:r>
            <w:r/>
          </w:p>
          <w:p>
            <w:pPr>
              <w:pStyle w:val="822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 закон от 07</w:t>
            </w:r>
            <w:r>
              <w:rPr>
                <w:sz w:val="28"/>
                <w:szCs w:val="28"/>
              </w:rPr>
              <w:t xml:space="preserve"> декабря </w:t>
            </w:r>
            <w:r>
              <w:rPr>
                <w:sz w:val="28"/>
                <w:szCs w:val="28"/>
              </w:rPr>
              <w:t xml:space="preserve">2011</w:t>
            </w:r>
            <w:r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№416-ФЗ «О водоснабжении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и водоотведении»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</w:t>
            </w:r>
            <w:r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 xml:space="preserve">ред</w:t>
            </w:r>
            <w:r>
              <w:rPr>
                <w:sz w:val="28"/>
                <w:szCs w:val="28"/>
              </w:rPr>
              <w:t xml:space="preserve">акции Федерального закона</w:t>
            </w:r>
            <w:r>
              <w:rPr>
                <w:sz w:val="28"/>
                <w:szCs w:val="28"/>
              </w:rPr>
              <w:t xml:space="preserve"> от 01</w:t>
            </w:r>
            <w:r>
              <w:rPr>
                <w:sz w:val="28"/>
                <w:szCs w:val="28"/>
              </w:rPr>
              <w:t xml:space="preserve"> мая </w:t>
            </w:r>
            <w:r>
              <w:rPr>
                <w:sz w:val="28"/>
                <w:szCs w:val="28"/>
              </w:rPr>
              <w:t xml:space="preserve">2022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</w:t>
            </w:r>
            <w:r>
              <w:rPr>
                <w:sz w:val="28"/>
                <w:szCs w:val="28"/>
              </w:rPr>
              <w:t xml:space="preserve">ода</w:t>
            </w:r>
            <w:r>
              <w:rPr>
                <w:sz w:val="28"/>
                <w:szCs w:val="28"/>
              </w:rPr>
              <w:t xml:space="preserve">)</w:t>
            </w:r>
            <w:r>
              <w:rPr>
                <w:sz w:val="28"/>
                <w:szCs w:val="28"/>
              </w:rPr>
              <w:t xml:space="preserve">;</w:t>
            </w:r>
            <w:r/>
          </w:p>
          <w:p>
            <w:pPr>
              <w:pStyle w:val="822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 закон от 31</w:t>
            </w:r>
            <w:r>
              <w:rPr>
                <w:sz w:val="28"/>
                <w:szCs w:val="28"/>
              </w:rPr>
              <w:t xml:space="preserve"> марта </w:t>
            </w:r>
            <w:r>
              <w:rPr>
                <w:sz w:val="28"/>
                <w:szCs w:val="28"/>
              </w:rPr>
              <w:t xml:space="preserve">1999</w:t>
            </w:r>
            <w:r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№69-ФЗ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«О газоснабжении в Российской Федерации»</w:t>
            </w:r>
            <w:r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 xml:space="preserve">ред</w:t>
            </w:r>
            <w:r>
              <w:rPr>
                <w:sz w:val="28"/>
                <w:szCs w:val="28"/>
              </w:rPr>
              <w:t xml:space="preserve">акции Федерального закона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от 14</w:t>
            </w:r>
            <w:r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 xml:space="preserve">2022</w:t>
            </w:r>
            <w:r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  <w:szCs w:val="28"/>
              </w:rPr>
              <w:t xml:space="preserve">)</w:t>
            </w:r>
            <w:r>
              <w:rPr>
                <w:sz w:val="28"/>
                <w:szCs w:val="28"/>
              </w:rPr>
              <w:t xml:space="preserve">;</w:t>
            </w:r>
            <w:r/>
          </w:p>
          <w:p>
            <w:pPr>
              <w:pStyle w:val="822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 закон от 26</w:t>
            </w:r>
            <w:r>
              <w:rPr>
                <w:sz w:val="28"/>
                <w:szCs w:val="28"/>
              </w:rPr>
              <w:t xml:space="preserve"> марта </w:t>
            </w:r>
            <w:r>
              <w:rPr>
                <w:sz w:val="28"/>
                <w:szCs w:val="28"/>
              </w:rPr>
              <w:t xml:space="preserve">2003</w:t>
            </w:r>
            <w:r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  <w:szCs w:val="28"/>
              </w:rPr>
              <w:t xml:space="preserve"> №35-ФЗ «Об электроэнергетике»</w:t>
            </w:r>
            <w:r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 xml:space="preserve">ред</w:t>
            </w:r>
            <w:r>
              <w:rPr>
                <w:sz w:val="28"/>
                <w:szCs w:val="28"/>
              </w:rPr>
              <w:t xml:space="preserve">акции Федерального закона</w:t>
            </w:r>
            <w:r>
              <w:rPr>
                <w:sz w:val="28"/>
                <w:szCs w:val="28"/>
              </w:rPr>
              <w:t xml:space="preserve"> от 11</w:t>
            </w:r>
            <w:r>
              <w:rPr>
                <w:sz w:val="28"/>
                <w:szCs w:val="28"/>
              </w:rPr>
              <w:t xml:space="preserve"> июня </w:t>
            </w:r>
            <w:r>
              <w:rPr>
                <w:sz w:val="28"/>
                <w:szCs w:val="28"/>
              </w:rPr>
              <w:t xml:space="preserve">2022</w:t>
            </w:r>
            <w:r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  <w:szCs w:val="28"/>
              </w:rPr>
              <w:t xml:space="preserve">)</w:t>
            </w:r>
            <w:r>
              <w:rPr>
                <w:sz w:val="28"/>
                <w:szCs w:val="28"/>
              </w:rPr>
              <w:t xml:space="preserve">;</w:t>
            </w:r>
            <w:r/>
          </w:p>
          <w:p>
            <w:pPr>
              <w:pStyle w:val="822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Методические рекомендации по разработке программ комплексного развития систем коммунальной инфраструктуры поселений, городских округов, утвержденные Приказом Госстроя от 01</w:t>
            </w:r>
            <w:r>
              <w:rPr>
                <w:sz w:val="28"/>
                <w:szCs w:val="28"/>
              </w:rPr>
              <w:t xml:space="preserve"> октября </w:t>
            </w:r>
            <w:r>
              <w:rPr>
                <w:sz w:val="28"/>
                <w:szCs w:val="28"/>
              </w:rPr>
              <w:t xml:space="preserve">2013</w:t>
            </w:r>
            <w:r>
              <w:rPr>
                <w:sz w:val="28"/>
                <w:szCs w:val="28"/>
              </w:rPr>
              <w:t xml:space="preserve"> года </w:t>
            </w:r>
            <w:r>
              <w:rPr>
                <w:sz w:val="28"/>
                <w:szCs w:val="28"/>
              </w:rPr>
              <w:t xml:space="preserve">№359/ГС.;</w:t>
            </w:r>
            <w:r/>
          </w:p>
          <w:p>
            <w:pPr>
              <w:pStyle w:val="822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провидения мониторинга выполнения производственных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и инвестиционных программ организаций коммунального комплекса, утвержденная Приказом Министерства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регионального развития Российской Федерации от 14</w:t>
            </w:r>
            <w:r>
              <w:rPr>
                <w:sz w:val="28"/>
                <w:szCs w:val="28"/>
              </w:rPr>
              <w:t xml:space="preserve"> апреля </w:t>
            </w:r>
            <w:r>
              <w:rPr>
                <w:sz w:val="28"/>
                <w:szCs w:val="28"/>
              </w:rPr>
              <w:t xml:space="preserve">2008</w:t>
            </w:r>
            <w:r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  <w:szCs w:val="28"/>
              </w:rPr>
              <w:t xml:space="preserve"> №48;</w:t>
            </w:r>
            <w:r/>
          </w:p>
          <w:p>
            <w:pPr>
              <w:pStyle w:val="822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территориального планирования муниципального образования;</w:t>
            </w:r>
            <w:r/>
          </w:p>
          <w:p>
            <w:pPr>
              <w:pStyle w:val="822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Генеральный план муниципального образования;</w:t>
            </w:r>
            <w:r/>
          </w:p>
          <w:p>
            <w:pPr>
              <w:pStyle w:val="822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Схемы теплоснабжения муниципального образования;</w:t>
            </w:r>
            <w:r/>
          </w:p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822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Схемы водоснабжения и водоотведения муниципального образования</w:t>
            </w:r>
            <w:r>
              <w:rPr>
                <w:sz w:val="28"/>
                <w:szCs w:val="28"/>
              </w:rPr>
              <w:t xml:space="preserve">.</w:t>
            </w:r>
            <w:r/>
          </w:p>
        </w:tc>
      </w:tr>
      <w:tr>
        <w:trPr/>
        <w:tc>
          <w:tcPr>
            <w:tcW w:w="255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Заказчик 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Программы</w:t>
            </w:r>
            <w:r/>
          </w:p>
        </w:tc>
        <w:tc>
          <w:tcPr>
            <w:tcW w:w="662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Грайворонского городского округа</w:t>
            </w:r>
            <w:r/>
          </w:p>
        </w:tc>
      </w:tr>
      <w:tr>
        <w:trPr/>
        <w:tc>
          <w:tcPr>
            <w:tcW w:w="255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Разработчик Программы</w:t>
            </w:r>
            <w:r/>
          </w:p>
        </w:tc>
        <w:tc>
          <w:tcPr>
            <w:tcW w:w="662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ОГБУ «Центр энергосбережения 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Белгородской области»</w:t>
            </w:r>
            <w:r/>
          </w:p>
        </w:tc>
      </w:tr>
      <w:tr>
        <w:trPr/>
        <w:tc>
          <w:tcPr>
            <w:tcW w:w="255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 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Программы</w:t>
            </w:r>
            <w:r/>
          </w:p>
        </w:tc>
        <w:tc>
          <w:tcPr>
            <w:tcW w:w="662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Целью Программы комплексного развития систем коммунальной инфраструктуры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муниципального образования является качественное и надежное обеспечение коммунальными услугами потребителей муниципального образования, улучшение экологической ситуации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в муниципальном образовании.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Программа комплексного развития систем коммунальной инфраструктуры муниципального образования является базовым документом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для разработки инвестиционных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и производственных программ организаций коммунального комплекса, осуществляющих деятельность на территории муниципального образования.</w:t>
            </w:r>
            <w:r/>
          </w:p>
        </w:tc>
      </w:tr>
      <w:tr>
        <w:trPr/>
        <w:tc>
          <w:tcPr>
            <w:tcW w:w="255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Программы</w:t>
            </w:r>
            <w:r/>
          </w:p>
        </w:tc>
        <w:tc>
          <w:tcPr>
            <w:tcW w:w="662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Основными задачами Программы являются:</w:t>
            </w:r>
            <w:r/>
          </w:p>
          <w:p>
            <w:pPr>
              <w:pStyle w:val="822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инженерно-техническая оптимизация систем коммунальной инфраструктуры муниципального образования;</w:t>
            </w:r>
            <w:r/>
          </w:p>
          <w:p>
            <w:pPr>
              <w:pStyle w:val="822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взаимосвязанное по срокам и объемам финансирования перспективное планирование развития систем коммунальной инфраструктуры муниципального образования;</w:t>
            </w:r>
            <w:r/>
          </w:p>
          <w:p>
            <w:pPr>
              <w:pStyle w:val="822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мероприятий по комплексной реконструкции и модернизации систем коммунальной инфраструктуры муниципального образования;</w:t>
            </w:r>
            <w:r/>
          </w:p>
          <w:p>
            <w:pPr>
              <w:pStyle w:val="822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надежности коммунальных систем и качества коммунальных услуг муниципального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образования;</w:t>
            </w:r>
            <w:r/>
          </w:p>
          <w:p>
            <w:pPr>
              <w:pStyle w:val="822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совершенствование механизмов развития энергосбережения и повышение энергоэффективности коммунальной инфраструктуры муниципального образования;</w:t>
            </w:r>
            <w:r/>
          </w:p>
          <w:p>
            <w:pPr>
              <w:pStyle w:val="822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инвестиционной привлекательности коммунальной </w:t>
            </w:r>
            <w:r>
              <w:rPr>
                <w:sz w:val="28"/>
                <w:szCs w:val="28"/>
              </w:rPr>
              <w:t xml:space="preserve">инфраструктуры муниципального образования;</w:t>
            </w:r>
            <w:r/>
          </w:p>
          <w:p>
            <w:pPr>
              <w:pStyle w:val="822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обеспечение сбалансированности интересов субъектов коммунальной инфраструктуры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и потребителей муниципального образования.</w:t>
            </w:r>
            <w:r/>
          </w:p>
        </w:tc>
      </w:tr>
      <w:tr>
        <w:trPr/>
        <w:tc>
          <w:tcPr>
            <w:tcW w:w="25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Важнейшие целевые показатели Программы</w:t>
            </w:r>
            <w:r/>
          </w:p>
        </w:tc>
        <w:tc>
          <w:tcPr>
            <w:tcW w:w="662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теплоснабжения: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аварийность системы теплоснабжения;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перебои в снабжении потребителей;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продолжительность поставки товаров и услуг;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уровень потерь;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удельный вес сетей, нуждающихся в замене;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протяжённость сетей, нуждающихся в замене;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потребителей в жилых домах, обеспеченных доступом к коммунальной инфраструктуре;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удельное теплопотребление.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водоснабжения: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аварийность системы водоснабжения;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перебои в снабжении потребителей;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продолжительность поставки товаров и услуг;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уровень потерь;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износ системы водоснабжения;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удельный вес сетей, нуждающихся в замене;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уровень загрузки производственных мощностей;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обеспеченность потребления товаров и услуг приборами учёта;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соответствие качества воды установленным требованиям;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удельное водопотребление;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потребителей в жилых домах, обеспеченных доступом к коммунальной инфраструктуре.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водоотведения:</w:t>
            </w:r>
            <w:r/>
          </w:p>
          <w:p>
            <w:pPr>
              <w:pStyle w:val="822"/>
              <w:numPr>
                <w:ilvl w:val="0"/>
                <w:numId w:val="18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аварийность системы водоотведения;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продолжительность поставки товаров и услуг;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уровень потерь;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износ системы водоснабжения;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удельный вес сетей, нуждающихся в замене;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соответствие качества сточных вод, установленным требованиям;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уровень загрузки производственных мощностей;</w:t>
            </w:r>
            <w:r/>
          </w:p>
          <w:p>
            <w:pPr>
              <w:pStyle w:val="822"/>
              <w:numPr>
                <w:ilvl w:val="0"/>
                <w:numId w:val="7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потребителей в жилых домах, обеспеченных доступом к коммунальной инфраструктуре.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Ути</w:t>
            </w:r>
            <w:r>
              <w:rPr>
                <w:sz w:val="28"/>
                <w:szCs w:val="28"/>
              </w:rPr>
              <w:t xml:space="preserve">лизация твёрдых бытовых отходов - </w:t>
            </w:r>
            <w:r>
              <w:rPr>
                <w:sz w:val="28"/>
                <w:szCs w:val="28"/>
              </w:rPr>
              <w:t xml:space="preserve">запас вместимости площадок захоронения ТКО.</w:t>
            </w:r>
            <w:r/>
          </w:p>
        </w:tc>
      </w:tr>
      <w:tr>
        <w:trPr/>
        <w:tc>
          <w:tcPr>
            <w:tcW w:w="2551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и этапы реализации Программы</w:t>
            </w:r>
            <w:r/>
          </w:p>
        </w:tc>
        <w:tc>
          <w:tcPr>
            <w:tcW w:w="662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реализации </w:t>
            </w:r>
            <w:r>
              <w:rPr>
                <w:sz w:val="28"/>
                <w:szCs w:val="28"/>
              </w:rPr>
              <w:t xml:space="preserve">П</w:t>
            </w:r>
            <w:r>
              <w:rPr>
                <w:sz w:val="28"/>
                <w:szCs w:val="28"/>
              </w:rPr>
              <w:t xml:space="preserve">рограммы: 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2019-2038 годы</w:t>
            </w:r>
            <w:r/>
          </w:p>
        </w:tc>
      </w:tr>
      <w:tr>
        <w:trPr/>
        <w:tc>
          <w:tcPr>
            <w:tcW w:w="25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Объем и источники финансирования Программы:</w:t>
            </w:r>
            <w:r/>
          </w:p>
        </w:tc>
        <w:tc>
          <w:tcPr>
            <w:tcW w:w="662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объем финансирования программных мероприятий за период 2019-2038 г</w:t>
            </w:r>
            <w:r>
              <w:rPr>
                <w:sz w:val="28"/>
                <w:szCs w:val="28"/>
              </w:rPr>
              <w:t xml:space="preserve">одов</w:t>
            </w:r>
            <w:r>
              <w:rPr>
                <w:sz w:val="28"/>
                <w:szCs w:val="28"/>
              </w:rPr>
              <w:t xml:space="preserve"> (Актуализация на 2023 год) 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составляет 245 375,50 тыс. руб.</w:t>
            </w:r>
            <w:r/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Источники финансирования 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областные средства.</w:t>
            </w:r>
            <w:r/>
          </w:p>
        </w:tc>
      </w:tr>
    </w:tbl>
    <w:p>
      <w:pPr>
        <w:rPr>
          <w:color w:val="000000"/>
        </w:rPr>
      </w:pPr>
      <w:r>
        <w:rPr>
          <w:color w:val="000000"/>
        </w:rPr>
      </w:r>
      <w:r/>
    </w:p>
    <w:p>
      <w:r>
        <w:rPr>
          <w:color w:val="000000" w:themeColor="text1"/>
        </w:rPr>
        <w:br w:type="page"/>
      </w:r>
      <w:r/>
    </w:p>
    <w:p>
      <w:pPr>
        <w:ind w:left="927"/>
        <w:jc w:val="both"/>
        <w:sectPr>
          <w:footnotePr/>
          <w:endnotePr/>
          <w:type w:val="nextPage"/>
          <w:pgSz w:w="11906" w:h="16838" w:orient="portrait"/>
          <w:pgMar w:top="1134" w:right="851" w:bottom="1134" w:left="1418" w:header="708" w:footer="708" w:gutter="0"/>
          <w:cols w:num="1" w:sep="0" w:space="708" w:equalWidth="1"/>
          <w:docGrid w:linePitch="360"/>
        </w:sectPr>
      </w:pPr>
      <w:r/>
      <w:r/>
    </w:p>
    <w:p>
      <w:pPr>
        <w:pStyle w:val="803"/>
        <w:jc w:val="both"/>
        <w:spacing w:before="0" w:line="240" w:lineRule="auto"/>
        <w:rPr>
          <w:rFonts w:ascii="Times New Roman" w:hAnsi="Times New Roman" w:cs="Times New Roman"/>
          <w:color w:val="000000"/>
        </w:rPr>
      </w:pPr>
      <w:r/>
      <w:bookmarkStart w:id="3" w:name="_Toc533014784"/>
      <w:r/>
      <w:r/>
    </w:p>
    <w:p>
      <w:pPr>
        <w:pStyle w:val="803"/>
        <w:jc w:val="center"/>
        <w:spacing w:before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 xml:space="preserve">2. Характеристика существующего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состояния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коммунальной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инфраструктуры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муниципального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образования</w:t>
      </w:r>
      <w:bookmarkEnd w:id="3"/>
      <w:r/>
      <w:r/>
    </w:p>
    <w:p>
      <w:pPr>
        <w:pStyle w:val="8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/>
      <w:bookmarkStart w:id="4" w:name="_Toc533014785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 Краткий анализ существующего состояния систем ресурсоснабжения муниципального образования</w:t>
      </w:r>
      <w:bookmarkEnd w:id="4"/>
      <w:r/>
      <w:r/>
    </w:p>
    <w:p>
      <w:pPr>
        <w:pStyle w:val="805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/>
      <w:bookmarkStart w:id="5" w:name="_Toc533014786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2.1.1. Теплоснабжение</w:t>
      </w:r>
      <w:bookmarkEnd w:id="5"/>
      <w:r/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9"/>
        <w:jc w:val="both"/>
        <w:tabs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Теплоснабжение жилой и общественной застройки на территории Грайворонского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гороского округа осуществляется по смешанной схеме. Индивидуальная жилая застройка и большая часть мелких общественных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коммунально-бытовых потребителей оборудованы индивидуальными источниками теплоснабжения, работающими на газообразном топливе,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обслуживаются непосредственно потребителями.</w:t>
      </w:r>
      <w:r/>
    </w:p>
    <w:p>
      <w:pPr>
        <w:ind w:firstLine="709"/>
        <w:jc w:val="both"/>
        <w:tabs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Многоквартирный жилой фонд, крупные общественные здания, некоторые производственные предприятия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подключены к централизованной системе теплоснабжения, которая состоит из котельных и тепловых сетей. Эксплуатацию 20 котельных и 22,58 км тепловых сетей на территории Грайворонского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</w:t>
      </w:r>
      <w:r>
        <w:rPr>
          <w:sz w:val="28"/>
          <w:szCs w:val="28"/>
        </w:rPr>
        <w:t xml:space="preserve">д</w:t>
      </w:r>
      <w:r>
        <w:rPr>
          <w:sz w:val="28"/>
          <w:szCs w:val="28"/>
        </w:rPr>
        <w:t xml:space="preserve">ского округа осуществляет АО «Грайворон-теплоэнерго».</w:t>
      </w:r>
      <w:r/>
    </w:p>
    <w:p>
      <w:pPr>
        <w:ind w:firstLine="709"/>
        <w:jc w:val="both"/>
        <w:tabs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Величина существующей отапливаемой площади строительных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фондов представлена в таблице 1. </w:t>
      </w:r>
      <w:r/>
    </w:p>
    <w:p>
      <w:pPr>
        <w:ind w:firstLine="709"/>
        <w:jc w:val="both"/>
        <w:tabs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Сведения о величине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прироста отапливаемой площади жилого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общественного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фонда – отсутствуют.</w:t>
      </w:r>
      <w:r/>
    </w:p>
    <w:p>
      <w:pPr>
        <w:ind w:firstLine="708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jc w:val="right"/>
      </w:pPr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jc w:val="right"/>
      </w:pPr>
      <w:r/>
      <w:r/>
    </w:p>
    <w:p>
      <w:r/>
      <w:r/>
    </w:p>
    <w:p>
      <w:pPr>
        <w:sectPr>
          <w:footerReference w:type="default" r:id="rId13"/>
          <w:footnotePr/>
          <w:endnotePr/>
          <w:type w:val="nextPage"/>
          <w:pgSz w:w="11906" w:h="16838" w:orient="portrait"/>
          <w:pgMar w:top="1134" w:right="851" w:bottom="1134" w:left="1418" w:header="708" w:footer="708" w:gutter="0"/>
          <w:cols w:num="1" w:sep="0" w:space="708" w:equalWidth="1"/>
          <w:docGrid w:linePitch="360"/>
        </w:sectPr>
      </w:pPr>
      <w:r/>
      <w:r/>
    </w:p>
    <w:p>
      <w:pPr>
        <w:ind w:firstLine="708"/>
        <w:rPr>
          <w:b/>
        </w:rPr>
      </w:pPr>
      <w:r>
        <w:rPr>
          <w:b/>
        </w:rPr>
        <w:t xml:space="preserve">Величина существующей отапливаемой площади строительных</w:t>
      </w:r>
      <w:r>
        <w:rPr>
          <w:b/>
        </w:rPr>
        <w:t xml:space="preserve"> </w:t>
      </w:r>
      <w:r>
        <w:rPr>
          <w:b/>
        </w:rPr>
        <w:t xml:space="preserve">фондов Грай</w:t>
      </w:r>
      <w:r>
        <w:rPr>
          <w:b/>
        </w:rPr>
        <w:t xml:space="preserve">воронского городского округа</w:t>
      </w:r>
      <w:r/>
    </w:p>
    <w:p>
      <w:pPr>
        <w:ind w:firstLine="708"/>
        <w:jc w:val="right"/>
      </w:pPr>
      <w:r>
        <w:t xml:space="preserve">Таблица 1</w:t>
      </w:r>
      <w:r/>
    </w:p>
    <w:tbl>
      <w:tblPr>
        <w:tblW w:w="14760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852"/>
        <w:gridCol w:w="1419"/>
        <w:gridCol w:w="1842"/>
        <w:gridCol w:w="1418"/>
        <w:gridCol w:w="1134"/>
        <w:gridCol w:w="992"/>
        <w:gridCol w:w="993"/>
        <w:gridCol w:w="992"/>
        <w:gridCol w:w="1417"/>
        <w:gridCol w:w="1701"/>
      </w:tblGrid>
      <w:tr>
        <w:trPr>
          <w:trHeight w:val="56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Наименование объекта и его адрес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ind w:left="-122" w:right="-9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Отапливаемая площадь, м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Категория потребителя </w:t>
            </w:r>
            <w:r/>
          </w:p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(МКД, ИЖС, бюджетные, производственные учреждения, прочие)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ind w:left="-122" w:right="-9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Наименование теплоисточника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Нагрузка на от</w:t>
            </w:r>
            <w:r>
              <w:rPr>
                <w:b/>
                <w:color w:val="000000"/>
                <w:sz w:val="18"/>
                <w:szCs w:val="18"/>
              </w:rPr>
              <w:t xml:space="preserve">о</w:t>
            </w:r>
            <w:r>
              <w:rPr>
                <w:b/>
                <w:color w:val="000000"/>
                <w:sz w:val="18"/>
                <w:szCs w:val="18"/>
              </w:rPr>
              <w:t xml:space="preserve">пление, Гкал/час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Нагрузка на ГВС, Гкал/час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Нагрузка на вентиля</w:t>
            </w:r>
            <w:r>
              <w:rPr>
                <w:b/>
                <w:color w:val="000000"/>
                <w:sz w:val="18"/>
                <w:szCs w:val="18"/>
              </w:rPr>
              <w:t xml:space="preserve">-</w:t>
            </w:r>
            <w:r>
              <w:rPr>
                <w:b/>
                <w:color w:val="000000"/>
                <w:sz w:val="18"/>
                <w:szCs w:val="18"/>
              </w:rPr>
              <w:t xml:space="preserve">цию, Гкал/час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Расход теплоно</w:t>
            </w:r>
            <w:r>
              <w:rPr>
                <w:b/>
                <w:color w:val="000000"/>
                <w:sz w:val="18"/>
                <w:szCs w:val="18"/>
              </w:rPr>
              <w:t xml:space="preserve">-</w:t>
            </w:r>
            <w:r>
              <w:rPr>
                <w:b/>
                <w:color w:val="000000"/>
                <w:sz w:val="18"/>
                <w:szCs w:val="18"/>
              </w:rPr>
              <w:t xml:space="preserve">сителя, м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 xml:space="preserve">3</w:t>
            </w:r>
            <w:r>
              <w:rPr>
                <w:b/>
                <w:color w:val="000000"/>
                <w:sz w:val="18"/>
                <w:szCs w:val="18"/>
              </w:rPr>
              <w:t xml:space="preserve">/час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Расчётное значение потреблённой ТЭ при расчётных темп-рах наружного воздуха, Гкал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Фактическое значение потреблённой ТЭ при расчётных темп-рах наружного воздуха, Гкал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Детская библиотека;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37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773,6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115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Центральная библиотека;                    г. Грайворон, ул. Советская, 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451,9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66,9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66,495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МБОУ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СОШ с УИОП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 г. Грайворон</w:t>
            </w:r>
            <w:r>
              <w:rPr>
                <w:color w:val="000000"/>
                <w:sz w:val="18"/>
                <w:szCs w:val="18"/>
              </w:rPr>
              <w:t xml:space="preserve">а</w:t>
            </w:r>
            <w:r>
              <w:rPr>
                <w:color w:val="000000"/>
                <w:sz w:val="18"/>
                <w:szCs w:val="18"/>
              </w:rPr>
              <w:t xml:space="preserve">;                        г. Грайворон, ул. Горького, 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7051,5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0,303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676,5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703,2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Музей;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Горького, 2А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496,4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84,6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Детский сад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Капелька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(корп);          г. Грайворон, </w:t>
            </w:r>
            <w:r>
              <w:rPr>
                <w:color w:val="000000"/>
                <w:sz w:val="18"/>
                <w:szCs w:val="18"/>
              </w:rPr>
              <w:t xml:space="preserve">ул. Ленина, 36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1550,3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205,1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180,682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Прачечная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детский сад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Капелька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36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18,9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Кинотеатр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Космос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22В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1086,5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296,1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119,3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Отделение № 17 в Грайворонском </w:t>
            </w:r>
            <w:r>
              <w:rPr>
                <w:color w:val="000000"/>
                <w:sz w:val="18"/>
                <w:szCs w:val="18"/>
              </w:rPr>
              <w:t xml:space="preserve">городском округе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ГАУ БО «МФЦ»;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г.Грайворон, </w:t>
            </w:r>
            <w:r>
              <w:rPr>
                <w:color w:val="000000"/>
                <w:sz w:val="18"/>
                <w:szCs w:val="18"/>
              </w:rPr>
              <w:t xml:space="preserve">ул. Ленина, 13Б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990,5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120,5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95,7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ЗАГС;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22Е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12,8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ДКиС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г. Грайворон;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22Е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5360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0,246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976,3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495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Районная прокуратура;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Интернациональная, 3А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220,7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46,9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27,26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Пенсионный фонд;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539,4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55,5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Управление Вневедомственной  О</w:t>
            </w:r>
            <w:r>
              <w:rPr>
                <w:color w:val="000000"/>
                <w:sz w:val="18"/>
                <w:szCs w:val="18"/>
              </w:rPr>
              <w:t xml:space="preserve">храны </w:t>
            </w:r>
            <w:r>
              <w:rPr>
                <w:color w:val="000000"/>
                <w:sz w:val="18"/>
                <w:szCs w:val="18"/>
              </w:rPr>
              <w:t xml:space="preserve">Войск Национальной Гвардии </w:t>
            </w:r>
            <w:r>
              <w:rPr>
                <w:color w:val="000000"/>
                <w:sz w:val="18"/>
                <w:szCs w:val="18"/>
              </w:rPr>
              <w:t xml:space="preserve">Российской Федерации по </w:t>
            </w:r>
            <w:r>
              <w:rPr>
                <w:color w:val="000000"/>
                <w:sz w:val="18"/>
                <w:szCs w:val="18"/>
              </w:rPr>
              <w:t xml:space="preserve">Белгородской области в </w:t>
            </w:r>
            <w:r>
              <w:rPr>
                <w:color w:val="000000"/>
                <w:sz w:val="18"/>
                <w:szCs w:val="18"/>
              </w:rPr>
              <w:t xml:space="preserve">Грайворон</w:t>
            </w:r>
            <w:r>
              <w:rPr>
                <w:color w:val="000000"/>
                <w:sz w:val="18"/>
                <w:szCs w:val="18"/>
              </w:rPr>
              <w:t xml:space="preserve">е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</w:t>
            </w:r>
            <w:r>
              <w:rPr>
                <w:color w:val="000000"/>
                <w:sz w:val="18"/>
                <w:szCs w:val="18"/>
              </w:rPr>
              <w:t xml:space="preserve"> Грайворон, ул. Мира, 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6,5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ОМВД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(УФМС -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паспортный стол);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Мира, 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381,7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87,8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ОМВД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(УФМС -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гараж);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Мира, 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12,36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Кадастровая палата;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Интернациональная, 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8,2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Территор. </w:t>
            </w:r>
            <w:r>
              <w:rPr>
                <w:color w:val="000000"/>
                <w:sz w:val="18"/>
                <w:szCs w:val="18"/>
              </w:rPr>
              <w:t xml:space="preserve">о</w:t>
            </w:r>
            <w:r>
              <w:rPr>
                <w:color w:val="000000"/>
                <w:sz w:val="18"/>
                <w:szCs w:val="18"/>
              </w:rPr>
              <w:t xml:space="preserve">рган </w:t>
            </w:r>
            <w:r>
              <w:rPr>
                <w:color w:val="000000"/>
                <w:sz w:val="18"/>
                <w:szCs w:val="18"/>
              </w:rPr>
              <w:t xml:space="preserve">ф</w:t>
            </w:r>
            <w:r>
              <w:rPr>
                <w:color w:val="000000"/>
                <w:sz w:val="18"/>
                <w:szCs w:val="18"/>
              </w:rPr>
              <w:t xml:space="preserve">ед. </w:t>
            </w:r>
            <w:r>
              <w:rPr>
                <w:color w:val="000000"/>
                <w:sz w:val="18"/>
                <w:szCs w:val="18"/>
              </w:rPr>
              <w:t xml:space="preserve">с</w:t>
            </w:r>
            <w:r>
              <w:rPr>
                <w:color w:val="000000"/>
                <w:sz w:val="18"/>
                <w:szCs w:val="18"/>
              </w:rPr>
              <w:t xml:space="preserve">л. </w:t>
            </w:r>
            <w:r>
              <w:rPr>
                <w:color w:val="000000"/>
                <w:sz w:val="18"/>
                <w:szCs w:val="18"/>
              </w:rPr>
              <w:t xml:space="preserve">г</w:t>
            </w:r>
            <w:r>
              <w:rPr>
                <w:color w:val="000000"/>
                <w:sz w:val="18"/>
                <w:szCs w:val="18"/>
              </w:rPr>
              <w:t xml:space="preserve">ос. статистики;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Интернациональная, 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9,9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Управление Фед. </w:t>
            </w:r>
            <w:r>
              <w:rPr>
                <w:color w:val="000000"/>
                <w:sz w:val="18"/>
                <w:szCs w:val="18"/>
              </w:rPr>
              <w:t xml:space="preserve">с</w:t>
            </w:r>
            <w:r>
              <w:rPr>
                <w:color w:val="000000"/>
                <w:sz w:val="18"/>
                <w:szCs w:val="18"/>
              </w:rPr>
              <w:t xml:space="preserve">лужбы гос. рег. (Росреестр);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13Б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147,7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21,4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Детский санаторий (корпус);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39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2797,6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0,206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482,5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425,9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Детский санаторий (школа);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32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1340,6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196,4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Территориальный отдел – Грайворонский кадровый центр ОБУ «Центр занятости населения Белгородской области»</w:t>
            </w:r>
            <w:r>
              <w:rPr>
                <w:color w:val="000000"/>
                <w:sz w:val="18"/>
                <w:szCs w:val="18"/>
              </w:rPr>
              <w:t xml:space="preserve">; 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Интернациональная, 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226,1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53,5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54,9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Мировой судья;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г. Грайворон, ул.Мира, 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228,5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51,2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52,083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МБУДО «Детская школа </w:t>
            </w:r>
            <w:r>
              <w:rPr>
                <w:color w:val="000000"/>
                <w:sz w:val="18"/>
                <w:szCs w:val="18"/>
              </w:rPr>
              <w:t xml:space="preserve">искусств</w:t>
            </w:r>
            <w:r>
              <w:rPr>
                <w:color w:val="000000"/>
                <w:sz w:val="18"/>
                <w:szCs w:val="18"/>
              </w:rPr>
              <w:t xml:space="preserve">» им. В.Ф. Трутовского</w:t>
            </w:r>
            <w:r>
              <w:rPr>
                <w:color w:val="000000"/>
                <w:sz w:val="18"/>
                <w:szCs w:val="18"/>
              </w:rPr>
              <w:t xml:space="preserve"> Грайворонского г</w:t>
            </w:r>
            <w:r>
              <w:rPr>
                <w:color w:val="000000"/>
                <w:sz w:val="18"/>
                <w:szCs w:val="18"/>
              </w:rPr>
              <w:t xml:space="preserve">о</w:t>
            </w:r>
            <w:r>
              <w:rPr>
                <w:color w:val="000000"/>
                <w:sz w:val="18"/>
                <w:szCs w:val="18"/>
              </w:rPr>
              <w:t xml:space="preserve">родского округа</w:t>
            </w:r>
            <w:r>
              <w:rPr>
                <w:color w:val="000000"/>
                <w:sz w:val="18"/>
                <w:szCs w:val="18"/>
              </w:rPr>
              <w:t xml:space="preserve">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г. Грайворон, ул. Ленина, 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105</w:t>
            </w:r>
            <w:r>
              <w:rPr>
                <w:color w:val="000000"/>
                <w:sz w:val="18"/>
                <w:szCs w:val="18"/>
              </w:rPr>
              <w:t xml:space="preserve">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59,6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ИП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Скворцова О.А.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 13Б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7,2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Росгосстрах; 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Интернациональн</w:t>
            </w:r>
            <w:r>
              <w:rPr>
                <w:color w:val="000000"/>
                <w:sz w:val="18"/>
                <w:szCs w:val="18"/>
              </w:rPr>
              <w:t xml:space="preserve">а</w:t>
            </w:r>
            <w:r>
              <w:rPr>
                <w:color w:val="000000"/>
                <w:sz w:val="18"/>
                <w:szCs w:val="18"/>
              </w:rPr>
              <w:t xml:space="preserve">я, 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59,4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14,2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БТИ;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Интернациональная, 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62,3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14,9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ПАО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Ростелеком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Мира, 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1246,6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151,3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ИП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Кипран</w:t>
            </w:r>
            <w:r>
              <w:rPr>
                <w:color w:val="000000"/>
                <w:sz w:val="18"/>
                <w:szCs w:val="18"/>
              </w:rPr>
              <w:t xml:space="preserve">»;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Мира, 26А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73,5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5,6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Общество охотников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 рыболовов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22Д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13,2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Почта;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259,7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64,6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Бойченко Н.И.; г. Грайворон, ул. Мира, 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2,8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Бойченко Т.В.;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Мира, 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2,8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ИП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Соломин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Мира, 26а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9,1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ООО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ГПК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Антонова, 22Б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0,0345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53,5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65,1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ООО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ГПК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 - второй этаж;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Антонова, 22Б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0,0345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53,5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Тандер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13Б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37,6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ИП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Спиридонова М.С.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13Б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0,0003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0,7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ИП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Спидченко В.Н.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13Б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0,0003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0,7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ИП «Дистель»; 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13Б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ИП Стиненко Е.Г.; 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13Б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62,6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8,5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ООО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Универсал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13Б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ООО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Лидер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13Б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2,9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ООО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Мираж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</w:t>
            </w:r>
            <w:r>
              <w:rPr>
                <w:color w:val="000000"/>
                <w:sz w:val="18"/>
                <w:szCs w:val="18"/>
              </w:rPr>
              <w:t xml:space="preserve">. Грайворон, ул. Мира, 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579,1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77,8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35,4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ООО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Агроторг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Мира, 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483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77,8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35,7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Мира, 44а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13105,4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84,8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</w:t>
            </w:r>
            <w:r/>
          </w:p>
        </w:tc>
      </w:tr>
      <w:tr>
        <w:trPr>
          <w:trHeight w:val="533"/>
        </w:trPr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Мира, 42а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151,8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153,8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Мира, 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178,8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181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Мира, 26а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473,4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479,8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Мира, 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176,5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178,9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Мира, 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1004,7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1018,1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Мира, 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13,4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Антонова, 1б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158,5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160,6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Жукова, 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232,2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235,4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Ленина, 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71,4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72,4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ПНИ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Урицкого, 92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ПНИ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0,748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2585,4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1802,2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Заводская, 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ПНИ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338,2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345,9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Урицкого, 90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ПНИ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316,8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318,9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Кирвера, 49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ПНИ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578,1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585,3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Кирова, 38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ПНИ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453,9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462,6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Кирова, 36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ПНИ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435,8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438,9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Кирова, 34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ПНИ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431,7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440,8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Кирова, 32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ПНИ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356,9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359,8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МБОУ «СОШ им. В.Г.</w:t>
            </w:r>
            <w:r>
              <w:rPr>
                <w:color w:val="000000"/>
                <w:sz w:val="18"/>
                <w:szCs w:val="18"/>
              </w:rPr>
              <w:t xml:space="preserve"> Шухова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г. Грайворон, ул. Мира, 61А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6365,7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Шухова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0,764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1705,6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1220,284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ЦРБ+</w:t>
            </w:r>
            <w:r>
              <w:rPr>
                <w:color w:val="000000"/>
                <w:sz w:val="18"/>
                <w:szCs w:val="18"/>
              </w:rPr>
              <w:t xml:space="preserve">р</w:t>
            </w:r>
            <w:r>
              <w:rPr>
                <w:color w:val="000000"/>
                <w:sz w:val="18"/>
                <w:szCs w:val="18"/>
              </w:rPr>
              <w:t xml:space="preserve">еабилитац. </w:t>
            </w:r>
            <w:r>
              <w:rPr>
                <w:color w:val="000000"/>
                <w:sz w:val="18"/>
                <w:szCs w:val="18"/>
              </w:rPr>
              <w:t xml:space="preserve">о</w:t>
            </w:r>
            <w:r>
              <w:rPr>
                <w:color w:val="000000"/>
                <w:sz w:val="18"/>
                <w:szCs w:val="18"/>
              </w:rPr>
              <w:t xml:space="preserve">тделение;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Мира, 98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9750,1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Шухова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0,724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1695,6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2008,1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АНО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Редакция газеты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Родной край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г. Грайворон, ул. Ленина, 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71,3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Шухова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15,6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ОМВД России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 Грайворонскому городскому округу;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105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1611,4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Шухова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218,8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219,1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Гостехнадзор;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38,2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Шухова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6,596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ООО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Центр ЖКУ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Грайворонский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75,2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Шухова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ООО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Центр ЖКУ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Грайворонский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(доп</w:t>
            </w:r>
            <w:r>
              <w:rPr>
                <w:color w:val="000000"/>
                <w:sz w:val="18"/>
                <w:szCs w:val="18"/>
              </w:rPr>
              <w:t xml:space="preserve">.</w:t>
            </w:r>
            <w:r>
              <w:rPr>
                <w:color w:val="000000"/>
                <w:sz w:val="18"/>
                <w:szCs w:val="18"/>
              </w:rPr>
              <w:t xml:space="preserve"> помещение); 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29,3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Шухова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6,7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Филиал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ФГБУ «</w:t>
            </w:r>
            <w:r>
              <w:rPr>
                <w:color w:val="000000"/>
                <w:sz w:val="18"/>
                <w:szCs w:val="18"/>
              </w:rPr>
              <w:t xml:space="preserve">Россельхознадзор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Ленина, 58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Шухова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30,2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ООО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Мираж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Свердло</w:t>
            </w:r>
            <w:r>
              <w:rPr>
                <w:color w:val="000000"/>
                <w:sz w:val="18"/>
                <w:szCs w:val="18"/>
              </w:rPr>
              <w:t xml:space="preserve">в</w:t>
            </w:r>
            <w:r>
              <w:rPr>
                <w:color w:val="000000"/>
                <w:sz w:val="18"/>
                <w:szCs w:val="18"/>
              </w:rPr>
              <w:t xml:space="preserve">а, 66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Шухова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36,6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54,8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Тандер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Свердло</w:t>
            </w:r>
            <w:r>
              <w:rPr>
                <w:color w:val="000000"/>
                <w:sz w:val="18"/>
                <w:szCs w:val="18"/>
              </w:rPr>
              <w:t xml:space="preserve">в</w:t>
            </w:r>
            <w:r>
              <w:rPr>
                <w:color w:val="000000"/>
                <w:sz w:val="18"/>
                <w:szCs w:val="18"/>
              </w:rPr>
              <w:t xml:space="preserve">а, 66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435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Шухова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33,8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38,4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Детский сад на 180 мест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</w:t>
            </w:r>
            <w:r>
              <w:rPr>
                <w:color w:val="000000"/>
                <w:sz w:val="18"/>
                <w:szCs w:val="18"/>
              </w:rPr>
              <w:t xml:space="preserve">, ул. Мира 161 д.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2401,2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Шухова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418,8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239,7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Областная псих.больница 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 xml:space="preserve">г .Грайворон;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Тарана, 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5049,7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ОПБ ТКУ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1638,8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1450,7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Адм.городского округа, архив, Доброивановская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ул. Добросельская,21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417,8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с. Замостье (архив)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34,1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25,3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Замостянский дом культуры, Доброивановская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>
              <w:rPr>
                <w:color w:val="000000"/>
                <w:sz w:val="18"/>
                <w:szCs w:val="18"/>
              </w:rPr>
              <w:t xml:space="preserve"> с. Замостье,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Добросельская,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21Е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205,9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с. Замостье (архив)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14,6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Офис семейного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врача, Доброивановская территориальная администрация, с. Замостье,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Добросельская,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21А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221,8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с. Замостье (архив)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19,6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Головчинская начальная школа, Головчинская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Школьная, 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Головчино (поселок)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401,9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332,2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Головчинский ФОК;  Головчинская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Школьная, 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1355,4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Головчино (поселок)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230,1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177,1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Сахарный комбинат Большевик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, Головчинская террито</w:t>
            </w:r>
            <w:r>
              <w:rPr>
                <w:color w:val="000000"/>
                <w:sz w:val="18"/>
                <w:szCs w:val="18"/>
              </w:rPr>
              <w:t xml:space="preserve">риальная администрация;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Центральная, 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146,2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Головчино (поселок)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33,5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34</w:t>
            </w:r>
            <w:r/>
          </w:p>
        </w:tc>
      </w:tr>
      <w:tr>
        <w:trPr>
          <w:trHeight w:val="78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Отделение связи, Головчинская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>
              <w:rPr>
                <w:color w:val="000000"/>
                <w:sz w:val="18"/>
                <w:szCs w:val="18"/>
              </w:rPr>
              <w:t xml:space="preserve"> с. Головчино, ул. Школьная, 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Головчино (поселок)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6,4</w:t>
            </w:r>
            <w:r/>
          </w:p>
        </w:tc>
      </w:tr>
      <w:tr>
        <w:trPr>
          <w:trHeight w:val="83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АТС,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Головчинская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</w:t>
            </w:r>
            <w:r>
              <w:rPr>
                <w:color w:val="000000"/>
                <w:sz w:val="18"/>
                <w:szCs w:val="18"/>
              </w:rPr>
              <w:t xml:space="preserve">. Головчино, ул. Школьная, 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102,8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Головчино (поселок)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23,2</w:t>
            </w:r>
            <w:r/>
          </w:p>
        </w:tc>
      </w:tr>
      <w:tr>
        <w:trPr>
          <w:trHeight w:val="8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ИП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Гаджиева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, Головчинская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Смирнова, 37в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Головчино (поселок)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13,2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Антоновский центр культурного развития, Головчинская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>
              <w:rPr>
                <w:color w:val="000000"/>
                <w:sz w:val="18"/>
                <w:szCs w:val="18"/>
              </w:rPr>
              <w:t xml:space="preserve"> с. Головчино, ул. Центральная, 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2447,8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Головчино (поселок)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572,8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196,2</w:t>
            </w:r>
            <w:r/>
          </w:p>
        </w:tc>
      </w:tr>
      <w:tr>
        <w:trPr>
          <w:trHeight w:val="10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ООО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Элит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, Головчинская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Смирнова, 33а/1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702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Головчино (поселок)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65,2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25,8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Школьная, 1А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520,76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Головчино (поселок)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98,4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105,5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Школьная, 2А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582,37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Головчино (поселок)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111,5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112,5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Школьная, 3А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970,3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Головчино (поселок)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221,1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218,6</w:t>
            </w:r>
            <w:r/>
          </w:p>
        </w:tc>
      </w:tr>
      <w:tr>
        <w:trPr>
          <w:trHeight w:val="110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МБОУ «</w:t>
            </w:r>
            <w:r>
              <w:rPr>
                <w:color w:val="000000"/>
                <w:sz w:val="18"/>
                <w:szCs w:val="18"/>
              </w:rPr>
              <w:t xml:space="preserve">Головчинская </w:t>
            </w:r>
            <w:r>
              <w:rPr>
                <w:color w:val="000000"/>
                <w:sz w:val="18"/>
                <w:szCs w:val="18"/>
              </w:rPr>
              <w:br/>
              <w:t xml:space="preserve">СОШ</w:t>
            </w:r>
            <w:r>
              <w:rPr>
                <w:color w:val="000000"/>
                <w:sz w:val="18"/>
                <w:szCs w:val="18"/>
              </w:rPr>
              <w:t xml:space="preserve"> с УИОП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Головчинская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>
              <w:rPr>
                <w:color w:val="000000"/>
                <w:sz w:val="18"/>
                <w:szCs w:val="18"/>
              </w:rPr>
              <w:t xml:space="preserve"> с. Головчино, ул. Смирнова, 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9548,7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                с. Головчино ТКУ (школа)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980,3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634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Головчинские школьные мастерские, Головчинская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>
              <w:rPr>
                <w:color w:val="000000"/>
                <w:sz w:val="18"/>
                <w:szCs w:val="18"/>
              </w:rPr>
              <w:t xml:space="preserve"> с. Головчино, ул. Смирнова, 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465,6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                с. Головчино ТКУ (школа)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64,1</w:t>
            </w:r>
            <w:r/>
          </w:p>
        </w:tc>
      </w:tr>
      <w:tr>
        <w:trPr>
          <w:trHeight w:val="97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Головчинская школьная теплица, Головчинская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Смирнова, 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437,8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                с. Головчино ТКУ (школа)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98,4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104,5</w:t>
            </w:r>
            <w:r/>
          </w:p>
        </w:tc>
      </w:tr>
      <w:tr>
        <w:trPr>
          <w:trHeight w:val="99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Головчинская участковая больница, Головчинская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>
              <w:rPr>
                <w:color w:val="000000"/>
                <w:sz w:val="18"/>
                <w:szCs w:val="18"/>
              </w:rPr>
              <w:t xml:space="preserve"> с. Головчино, ул. Смирнова, 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1646,7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                с. Головчино (больница)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409,9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406,8</w:t>
            </w:r>
            <w:r/>
          </w:p>
        </w:tc>
      </w:tr>
      <w:tr>
        <w:trPr>
          <w:trHeight w:val="11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Горьковская школа, Горьковская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Горьковский,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</w:t>
            </w:r>
            <w:r>
              <w:rPr>
                <w:color w:val="000000"/>
                <w:sz w:val="18"/>
                <w:szCs w:val="18"/>
              </w:rPr>
              <w:t xml:space="preserve">л. Молодежная, 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4154,3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Горьковский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0,291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649,7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549,109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Добросельская школа, Доброивановская 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Доброе, ул. Грайворонская, 18а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4074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 (школа)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937,6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529</w:t>
            </w:r>
            <w:r/>
          </w:p>
        </w:tc>
      </w:tr>
      <w:tr>
        <w:trPr>
          <w:trHeight w:val="56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Администрация городского округа, Безыменская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Октябрьская, 74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225,9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53,5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53,488</w:t>
            </w:r>
            <w:r/>
          </w:p>
        </w:tc>
      </w:tr>
      <w:tr>
        <w:trPr>
          <w:trHeight w:val="56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Безыменская школа, Безыменская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>
              <w:rPr>
                <w:color w:val="000000"/>
                <w:sz w:val="18"/>
                <w:szCs w:val="18"/>
              </w:rPr>
              <w:t xml:space="preserve"> с. Безымено,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ул. Октябрьская, 76а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6257,8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935,5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800,421</w:t>
            </w:r>
            <w:r/>
          </w:p>
        </w:tc>
      </w:tr>
      <w:tr>
        <w:trPr>
          <w:trHeight w:val="95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Безыменский дом культуры Безыменская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Октябрьская, 75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1243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137,2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120,8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Безыменский медпункт, Безыменская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Октябрьская, 76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143,8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40,1</w:t>
            </w:r>
            <w:r/>
          </w:p>
        </w:tc>
      </w:tr>
      <w:tr>
        <w:trPr>
          <w:trHeight w:val="85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Отделение связи, Безыменская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Октябрьская, 74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54,6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8,9</w:t>
            </w:r>
            <w:r/>
          </w:p>
        </w:tc>
      </w:tr>
      <w:tr>
        <w:trPr>
          <w:trHeight w:val="83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ИП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Токарь Д.А.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, Безыменская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Октябрьская, 77б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84,8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3,6</w:t>
            </w:r>
            <w:r/>
          </w:p>
        </w:tc>
      </w:tr>
      <w:tr>
        <w:trPr>
          <w:trHeight w:val="8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Октябрьская, 77, Безыменская территориальная администрация, с. Безымено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1471,2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267,8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269,2</w:t>
            </w:r>
            <w:r/>
          </w:p>
        </w:tc>
      </w:tr>
      <w:tr>
        <w:trPr>
          <w:trHeight w:val="974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МБОУ «</w:t>
            </w:r>
            <w:r>
              <w:rPr>
                <w:color w:val="000000"/>
                <w:sz w:val="18"/>
                <w:szCs w:val="18"/>
              </w:rPr>
              <w:t xml:space="preserve">Гора-Подольская </w:t>
            </w:r>
            <w:r>
              <w:rPr>
                <w:color w:val="000000"/>
                <w:sz w:val="18"/>
                <w:szCs w:val="18"/>
              </w:rPr>
              <w:t xml:space="preserve">СОШ»</w:t>
            </w:r>
            <w:r>
              <w:rPr>
                <w:color w:val="000000"/>
                <w:sz w:val="18"/>
                <w:szCs w:val="18"/>
              </w:rPr>
              <w:t xml:space="preserve">, Гора-Подольская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Гора-Подол, ул. Борисенко, 48е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6395,6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                с. Гора-Подол (школа)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803,7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675,875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Гора-Подольские школьные мастерские, Гора-Подольская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>
              <w:rPr>
                <w:color w:val="000000"/>
                <w:sz w:val="18"/>
                <w:szCs w:val="18"/>
              </w:rPr>
              <w:t xml:space="preserve"> с. Гора-Подол, ул. Борисенко, 48е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836,7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                с. Гора-Подол (школа)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207,6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193,6</w:t>
            </w:r>
            <w:r/>
          </w:p>
        </w:tc>
      </w:tr>
      <w:tr>
        <w:trPr>
          <w:trHeight w:val="116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Администрация городского округа, Гора-Подольская территориальная администрация с. Гора-Подол, ул. Борисенко, 45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61,8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                с. Гора-Подол (админист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рация)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31,8</w:t>
            </w:r>
            <w:r/>
          </w:p>
        </w:tc>
      </w:tr>
      <w:tr>
        <w:trPr>
          <w:trHeight w:val="9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Доп. </w:t>
            </w:r>
            <w:r>
              <w:rPr>
                <w:color w:val="000000"/>
                <w:sz w:val="18"/>
                <w:szCs w:val="18"/>
              </w:rPr>
              <w:t xml:space="preserve">п</w:t>
            </w:r>
            <w:r>
              <w:rPr>
                <w:color w:val="000000"/>
                <w:sz w:val="18"/>
                <w:szCs w:val="18"/>
              </w:rPr>
              <w:t xml:space="preserve">омещение администрации, Гора-Подольская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Гора-Подол, ул. Борисенко, 45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61,8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                с. Гора-Подол (админист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рация)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11,2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Гора</w:t>
            </w:r>
            <w:r>
              <w:rPr>
                <w:color w:val="000000"/>
                <w:sz w:val="18"/>
                <w:szCs w:val="18"/>
              </w:rPr>
              <w:t xml:space="preserve">-П</w:t>
            </w:r>
            <w:r>
              <w:rPr>
                <w:color w:val="000000"/>
                <w:sz w:val="18"/>
                <w:szCs w:val="18"/>
              </w:rPr>
              <w:t xml:space="preserve">одольский медпункт, Гора-Подольская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Гора-Подол, ул. Борисенко, 43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105,8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                с. Гора-Подол (админист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рация)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16,7</w:t>
            </w:r>
            <w:r/>
          </w:p>
        </w:tc>
      </w:tr>
      <w:tr>
        <w:trPr>
          <w:trHeight w:val="100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Отделение связи, Гора-Подольская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Гора-Подол, ул. Борисенко, 43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                с. Гора-Подол (админист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рация)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11,1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МБОУ «Козинская СОШ»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(1 ввод),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Козинская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Центральная, 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4230,7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 ТКУ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0,241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538,1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517,309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МБОУ «Козинская СОШ»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(2 ввод),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Козинская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Центральная, 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1183,9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 ТКУ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156,3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137,1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Козинские школьные мастерские, Козинская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Центральная, 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505,1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 ТКУ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64,6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66,5</w:t>
            </w:r>
            <w:r/>
          </w:p>
        </w:tc>
      </w:tr>
      <w:tr>
        <w:trPr>
          <w:trHeight w:val="87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Козинский медпункт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Козинская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Центральная, 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 ТКУ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11,9</w:t>
            </w:r>
            <w:r/>
          </w:p>
        </w:tc>
      </w:tr>
      <w:tr>
        <w:trPr>
          <w:trHeight w:val="10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Реабилитационный центр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для несовершеннолетних, Козинская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Центральная, 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2905,8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 ТКУ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340</w:t>
            </w:r>
            <w:r/>
          </w:p>
        </w:tc>
      </w:tr>
      <w:tr>
        <w:trPr>
          <w:trHeight w:val="70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Центральная, 13,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Козинская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4203,3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 ТКУ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281,4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285,1</w:t>
            </w:r>
            <w:r/>
          </w:p>
        </w:tc>
      </w:tr>
      <w:tr>
        <w:trPr>
          <w:trHeight w:val="83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Центральная, 15,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Козинская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 ТКУ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272,3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276,1</w:t>
            </w:r>
            <w:r/>
          </w:p>
        </w:tc>
      </w:tr>
      <w:tr>
        <w:trPr>
          <w:trHeight w:val="70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Центральная, 17, Козинская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>
              <w:rPr>
                <w:color w:val="000000"/>
                <w:sz w:val="18"/>
                <w:szCs w:val="18"/>
              </w:rPr>
              <w:t xml:space="preserve"> с. Козинка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 ТКУ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236,6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239,8</w:t>
            </w:r>
            <w:r/>
          </w:p>
        </w:tc>
      </w:tr>
      <w:tr>
        <w:trPr>
          <w:trHeight w:val="71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Кирпичный завод, 2, Козинская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889,7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Кирпичный завод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196,4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199,1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Администра</w:t>
            </w:r>
            <w:r>
              <w:rPr>
                <w:color w:val="000000"/>
                <w:sz w:val="18"/>
                <w:szCs w:val="18"/>
              </w:rPr>
              <w:t xml:space="preserve">ция городского округа, Смородин</w:t>
            </w:r>
            <w:r>
              <w:rPr>
                <w:color w:val="000000"/>
                <w:sz w:val="18"/>
                <w:szCs w:val="18"/>
              </w:rPr>
              <w:t xml:space="preserve">ская территори</w:t>
            </w:r>
            <w:r>
              <w:rPr>
                <w:color w:val="000000"/>
                <w:sz w:val="18"/>
                <w:szCs w:val="18"/>
              </w:rPr>
              <w:t xml:space="preserve">альная администрация;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</w:t>
            </w:r>
            <w:r>
              <w:rPr>
                <w:color w:val="000000"/>
                <w:sz w:val="18"/>
                <w:szCs w:val="18"/>
              </w:rPr>
              <w:t xml:space="preserve">. Смородино, ул. Выгон, 52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39,292</w:t>
            </w:r>
            <w:r/>
          </w:p>
        </w:tc>
      </w:tr>
      <w:tr>
        <w:trPr>
          <w:trHeight w:val="98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МБОУ «</w:t>
            </w:r>
            <w:r>
              <w:rPr>
                <w:color w:val="000000"/>
                <w:sz w:val="18"/>
                <w:szCs w:val="18"/>
              </w:rPr>
              <w:t xml:space="preserve">Смородинская </w:t>
            </w:r>
            <w:r>
              <w:rPr>
                <w:color w:val="000000"/>
                <w:sz w:val="18"/>
                <w:szCs w:val="18"/>
              </w:rPr>
              <w:t xml:space="preserve">СОШ»</w:t>
            </w:r>
            <w:r>
              <w:rPr>
                <w:color w:val="000000"/>
                <w:sz w:val="18"/>
                <w:szCs w:val="18"/>
              </w:rPr>
              <w:t xml:space="preserve">, Смороди</w:t>
            </w:r>
            <w:r>
              <w:rPr>
                <w:color w:val="000000"/>
                <w:sz w:val="18"/>
                <w:szCs w:val="18"/>
              </w:rPr>
              <w:t xml:space="preserve">н</w:t>
            </w:r>
            <w:r>
              <w:rPr>
                <w:color w:val="000000"/>
                <w:sz w:val="18"/>
                <w:szCs w:val="18"/>
              </w:rPr>
              <w:t xml:space="preserve">ская территориальная адми</w:t>
            </w:r>
            <w:r>
              <w:rPr>
                <w:color w:val="000000"/>
                <w:sz w:val="18"/>
                <w:szCs w:val="18"/>
              </w:rPr>
              <w:t xml:space="preserve">нистрация;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Выгон, 62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4334,8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0,245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547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502,073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Смородинские школьные мастерские, Смородинская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 xml:space="preserve">с. Смородино, ул. Выгон, 62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111,6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19,7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Смородинский дом культуры, Смородинская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Выгон, 61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72,2</w:t>
            </w:r>
            <w:r/>
          </w:p>
        </w:tc>
      </w:tr>
      <w:tr>
        <w:trPr>
          <w:trHeight w:val="101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Смородинский медпункт, Смородинская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Выгон, 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52,5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19,1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Администрация городского округа;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Комсомольская, 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2670,2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Админист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рация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0,266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593,9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492,444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ДЮСШ;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Комсомольская, 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249,8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Админист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рация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75,9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73,4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</w:t>
            </w:r>
            <w:r>
              <w:rPr>
                <w:color w:val="000000"/>
                <w:sz w:val="18"/>
                <w:szCs w:val="18"/>
              </w:rPr>
              <w:t xml:space="preserve">аражи новые; 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Комсомольская, 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210,7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Админист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рация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7,7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АО </w:t>
            </w:r>
            <w:r>
              <w:rPr>
                <w:color w:val="000000"/>
                <w:sz w:val="18"/>
                <w:szCs w:val="18"/>
              </w:rPr>
              <w:t xml:space="preserve">«</w:t>
            </w:r>
            <w:r>
              <w:rPr>
                <w:color w:val="000000"/>
                <w:sz w:val="18"/>
                <w:szCs w:val="18"/>
              </w:rPr>
              <w:t xml:space="preserve">Россельхозбанк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г. Грайворон, ул. Комсомольская, 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175,2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Админист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рация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44,9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МБОУ «</w:t>
            </w:r>
            <w:r>
              <w:rPr>
                <w:color w:val="000000"/>
                <w:sz w:val="18"/>
                <w:szCs w:val="18"/>
              </w:rPr>
              <w:t xml:space="preserve">Мокроорловская СОШ</w:t>
            </w:r>
            <w:r>
              <w:rPr>
                <w:color w:val="000000"/>
                <w:sz w:val="18"/>
                <w:szCs w:val="18"/>
              </w:rPr>
              <w:t xml:space="preserve">»</w:t>
            </w:r>
            <w:r>
              <w:rPr>
                <w:color w:val="000000"/>
                <w:sz w:val="18"/>
                <w:szCs w:val="18"/>
              </w:rPr>
              <w:t xml:space="preserve">, Мокроорловская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Центральная, 45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4548,8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692,2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535,652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Дом-интернат для престарелых, Мокроорловская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>
              <w:rPr>
                <w:color w:val="000000"/>
                <w:sz w:val="18"/>
                <w:szCs w:val="18"/>
              </w:rPr>
              <w:t xml:space="preserve"> 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Центральная, 47а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854,6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165,2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67,836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МБОУ «</w:t>
            </w:r>
            <w:r>
              <w:rPr>
                <w:color w:val="000000"/>
                <w:sz w:val="18"/>
                <w:szCs w:val="18"/>
              </w:rPr>
              <w:t xml:space="preserve">Дорогощанская </w:t>
            </w:r>
            <w:r>
              <w:rPr>
                <w:color w:val="000000"/>
                <w:sz w:val="18"/>
                <w:szCs w:val="18"/>
              </w:rPr>
              <w:t xml:space="preserve">СОШ»</w:t>
            </w:r>
            <w:r>
              <w:rPr>
                <w:color w:val="000000"/>
                <w:sz w:val="18"/>
                <w:szCs w:val="18"/>
              </w:rPr>
              <w:t xml:space="preserve">, Дорогощанская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Первомайская, 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1536,8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 (школа)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308,1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286,1</w:t>
            </w:r>
            <w:r/>
          </w:p>
        </w:tc>
      </w:tr>
      <w:tr>
        <w:trPr>
          <w:trHeight w:val="791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ж/д Первомайская, 12, Дорогощанская территориальная администрация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>
              <w:rPr>
                <w:color w:val="000000"/>
                <w:sz w:val="18"/>
                <w:szCs w:val="18"/>
              </w:rPr>
              <w:t xml:space="preserve">с. Дорогощь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365,8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МКД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 (школа)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111,5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112,5</w:t>
            </w:r>
            <w:r/>
          </w:p>
        </w:tc>
      </w:tr>
      <w:tr>
        <w:trPr>
          <w:trHeight w:val="56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5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Дорогощанская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территориальная администрация;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Песчаная, 2а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304,9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бюджет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 (детский сад)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75,7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73,8</w:t>
            </w:r>
            <w:r/>
          </w:p>
        </w:tc>
      </w:tr>
    </w:tbl>
    <w:p>
      <w:pPr>
        <w:ind w:firstLine="708"/>
        <w:sectPr>
          <w:footnotePr/>
          <w:endnotePr/>
          <w:type w:val="nextPage"/>
          <w:pgSz w:w="16838" w:h="11906" w:orient="landscape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/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таблице 2 представлены зоны действия и распределение эксплуатационной ответственности между теплоснабжающими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теплосетевыми организациями Грайворонского городского округа.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Зоны действия и распределение эксплуатационной ответственности между теплоснабжающими и теплосетевыми организациями </w: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Грайворонского городского округа</w:t>
      </w:r>
      <w:r/>
    </w:p>
    <w:p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2</w:t>
      </w:r>
      <w:r/>
    </w:p>
    <w:p>
      <w:pPr>
        <w:ind w:firstLine="567"/>
        <w:jc w:val="right"/>
      </w:pPr>
      <w:r/>
      <w:r/>
    </w:p>
    <w:tbl>
      <w:tblPr>
        <w:tblW w:w="8974" w:type="dxa"/>
        <w:tblInd w:w="4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417"/>
        <w:gridCol w:w="1843"/>
        <w:gridCol w:w="3827"/>
        <w:gridCol w:w="1320"/>
      </w:tblGrid>
      <w:tr>
        <w:trPr>
          <w:trHeight w:val="20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№ п/п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Источник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тепловой энергии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Балансовая принадлежность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Зона действия источника тепловой энергии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Подключенная тепловая нагрузка, Гкал/час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Школа искусств, </w:t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ФМС</w:t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, гараж, гаражи ОСБ, почта, две библиотеки, детский санаторий, пищеблок, корпус санатория, администрация, кинотеатр, магазин, </w:t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Отделение № 17 в Грайворонском городском округе</w:t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, Ростелеком, дворец</w:t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 культуры и </w:t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 спорта, мировой суд, </w:t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br/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д/с, прачка д/с, музей, </w:t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Территориальный отдел – Грайворонский кадровый центр</w:t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 и ж/д по ули</w:t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цам: Ленина, 13, 14а; Антонова, </w:t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1; Мира, 11,13,21,24,26а,30,42а,44а; Жукова, 2; Интернациональная, 3.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3,227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«Шухова»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Школа, ЦРБ, банк, центр туризма, экология, бак. </w:t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л</w:t>
            </w:r>
            <w:r>
              <w:rPr>
                <w:rFonts w:ascii="Times New Roman" w:hAnsi="Times New Roman" w:eastAsia="Times New Roman"/>
                <w:sz w:val="18"/>
                <w:szCs w:val="18"/>
                <w:lang w:val="ru-RU"/>
              </w:rPr>
              <w:t xml:space="preserve">аборатория, ОМВД, Детский сад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1,911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ПНИ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Лечебный корпус, баня, прачка, гараж, лечебный корпус, тяжелый блок, кухня и ж/д по улицам: Урицкого, 90; Заводская, 2г; Кирвера, 49; </w:t>
            </w:r>
            <w:r/>
          </w:p>
          <w:p>
            <w:pPr>
              <w:pStyle w:val="879"/>
              <w:jc w:val="center"/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Кирова, 32,34,36,38.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1,941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Администрации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Администрация, ул. Комсомольская, 21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0,333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ОПБ (ТКУ)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Административный корпус, баня, гаражи, мастерские, прачечная, пищеблок, физ.кабинет, лечебное отделение №1,2,3,4.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0,664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Замостье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Администрация, архив; с. Замостье,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ул. Добросельская,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 xml:space="preserve">21</w:t>
            </w:r>
            <w:r>
              <w:rPr>
                <w:spacing w:val="-2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Замостянский дом культуры; с. Замостье, </w:t>
            </w:r>
            <w:r>
              <w:rPr>
                <w:spacing w:val="-2"/>
                <w:sz w:val="18"/>
                <w:szCs w:val="18"/>
              </w:rPr>
              <w:br/>
            </w:r>
            <w:r>
              <w:rPr>
                <w:spacing w:val="-2"/>
                <w:sz w:val="18"/>
                <w:szCs w:val="18"/>
              </w:rPr>
              <w:t xml:space="preserve">ул. Добро</w:t>
            </w:r>
            <w:r>
              <w:rPr>
                <w:spacing w:val="-2"/>
                <w:sz w:val="18"/>
                <w:szCs w:val="18"/>
              </w:rPr>
              <w:t xml:space="preserve">сельская</w:t>
            </w:r>
            <w:r>
              <w:rPr>
                <w:spacing w:val="-2"/>
                <w:sz w:val="18"/>
                <w:szCs w:val="18"/>
              </w:rPr>
              <w:t xml:space="preserve">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 xml:space="preserve">21Е</w:t>
            </w:r>
            <w:r>
              <w:rPr>
                <w:spacing w:val="-2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Офис семейного </w:t>
            </w:r>
            <w:r>
              <w:rPr>
                <w:spacing w:val="-2"/>
                <w:sz w:val="18"/>
                <w:szCs w:val="18"/>
              </w:rPr>
              <w:t xml:space="preserve">в</w:t>
            </w:r>
            <w:r>
              <w:rPr>
                <w:spacing w:val="-2"/>
                <w:sz w:val="18"/>
                <w:szCs w:val="18"/>
              </w:rPr>
              <w:t xml:space="preserve">рача; с. Замостье,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ул. Добросельская,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 xml:space="preserve">21А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0,076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Головчино (поселок)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Головчинская начальная школа;  с. Головчино,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ул. Школьная, 11; Головчинский ФОК; с. Головчино, ул. Школьная, 9; АО «Сахарный комбинат Большевик»; с. Головчино, ул. Центральная, 11; Отделение связи; с. Головчино, ул. Школьная, 12; АТС; с. Головчино, ул. Школьная, 12;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ИП «Гаджиева»; с. Головчино, ул. Смирнова, 37в</w:t>
            </w:r>
            <w:r>
              <w:rPr>
                <w:spacing w:val="-2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Антоновский центр культурного развития;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с. Головчино, ул. Центральная, 8</w:t>
            </w:r>
            <w:r>
              <w:rPr>
                <w:spacing w:val="-2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ООО «Элит»;  с. Головчино, ул. Смирнова, 33а/1;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ж/д Школьная, 1А, 2А, 3А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0,862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Головчино (школа)</w:t>
            </w:r>
            <w:r/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Головчинская школа с УИОП; с. Головчино, </w:t>
            </w:r>
            <w:r>
              <w:rPr>
                <w:spacing w:val="-2"/>
                <w:sz w:val="18"/>
                <w:szCs w:val="18"/>
              </w:rPr>
              <w:br/>
            </w:r>
            <w:r>
              <w:rPr>
                <w:spacing w:val="-2"/>
                <w:sz w:val="18"/>
                <w:szCs w:val="18"/>
              </w:rPr>
              <w:t xml:space="preserve">ул. Смирнова, 2</w:t>
            </w:r>
            <w:r>
              <w:rPr>
                <w:spacing w:val="-2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Головчинские школьные мастерские; с. Головчино, ул. Смирнова, 2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Головчинская школьная теплица; с. Головчино,</w:t>
            </w:r>
            <w:r>
              <w:rPr>
                <w:spacing w:val="-2"/>
                <w:sz w:val="18"/>
                <w:szCs w:val="18"/>
              </w:rPr>
              <w:br/>
            </w:r>
            <w:r>
              <w:rPr>
                <w:spacing w:val="-2"/>
                <w:sz w:val="18"/>
                <w:szCs w:val="18"/>
              </w:rPr>
              <w:t xml:space="preserve">ул. Смирнова, 2</w:t>
            </w:r>
            <w:r/>
          </w:p>
        </w:tc>
        <w:tc>
          <w:tcPr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0,484</w:t>
            </w:r>
            <w:r/>
          </w:p>
        </w:tc>
      </w:tr>
      <w:tr>
        <w:trPr>
          <w:trHeight w:val="64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Головчино (больница)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Головчинская участковая 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 xml:space="preserve">больница;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с. Головчино, ул. Смирнова, 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0,175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п. Горьковский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Горьковская школа;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пос. Горьковский, </w:t>
            </w:r>
            <w:r>
              <w:rPr>
                <w:spacing w:val="-2"/>
                <w:sz w:val="18"/>
                <w:szCs w:val="18"/>
              </w:rPr>
              <w:br/>
            </w:r>
            <w:r>
              <w:rPr>
                <w:spacing w:val="-2"/>
                <w:sz w:val="18"/>
                <w:szCs w:val="18"/>
              </w:rPr>
              <w:t xml:space="preserve">ул. Молодежная, 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0,291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Доброе (школа)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Добросельская школа;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с. Доброе, ул. Грайворонская, 18а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0,506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Безыменская администрация, Отделение связи;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с. Безымено, ул. Октябрьская, 74</w:t>
            </w:r>
            <w:r>
              <w:rPr>
                <w:spacing w:val="-2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Безыменская школа; с. Безымено,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ул. Октябрьская, 76а; Безыменский дом культуры;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с. Безымено, ул. Октябрьская, 75; Безыменский медпункт; с. Безымено, ул. Октябрьская, 76;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ИП «Токарь Д.А.»; с. Безымено, ул. Октябрьская, 77б; ж/д Октябрьская, 77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0,656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Гора-Подол (школа)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МБОУ «</w:t>
            </w:r>
            <w:r>
              <w:rPr>
                <w:spacing w:val="-2"/>
                <w:sz w:val="18"/>
                <w:szCs w:val="18"/>
              </w:rPr>
              <w:t xml:space="preserve">Гора</w:t>
            </w:r>
            <w:r>
              <w:rPr>
                <w:spacing w:val="-2"/>
                <w:sz w:val="18"/>
                <w:szCs w:val="18"/>
              </w:rPr>
              <w:t xml:space="preserve">-П</w:t>
            </w:r>
            <w:r>
              <w:rPr>
                <w:spacing w:val="-2"/>
                <w:sz w:val="18"/>
                <w:szCs w:val="18"/>
              </w:rPr>
              <w:t xml:space="preserve">одольская </w:t>
            </w:r>
            <w:r>
              <w:rPr>
                <w:spacing w:val="-2"/>
                <w:sz w:val="18"/>
                <w:szCs w:val="18"/>
              </w:rPr>
              <w:t xml:space="preserve">СОШ»</w:t>
            </w:r>
            <w:r>
              <w:rPr>
                <w:spacing w:val="-2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с. Гора-Подол, ул. Борисенко, 48е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0,453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Гора-Подол (администрация)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Гора</w:t>
            </w:r>
            <w:r>
              <w:rPr>
                <w:spacing w:val="-2"/>
                <w:sz w:val="18"/>
                <w:szCs w:val="18"/>
              </w:rPr>
              <w:t xml:space="preserve">-П</w:t>
            </w:r>
            <w:r>
              <w:rPr>
                <w:spacing w:val="-2"/>
                <w:sz w:val="18"/>
                <w:szCs w:val="18"/>
              </w:rPr>
              <w:t xml:space="preserve">одольская администрация; с. Гора-Подол, </w:t>
            </w:r>
            <w:r>
              <w:rPr>
                <w:spacing w:val="-2"/>
                <w:sz w:val="18"/>
                <w:szCs w:val="18"/>
              </w:rPr>
              <w:br/>
            </w:r>
            <w:r>
              <w:rPr>
                <w:spacing w:val="-2"/>
                <w:sz w:val="18"/>
                <w:szCs w:val="18"/>
              </w:rPr>
              <w:t xml:space="preserve">ул. Борисенко, 45</w:t>
            </w:r>
            <w:r>
              <w:rPr>
                <w:spacing w:val="-2"/>
                <w:sz w:val="18"/>
                <w:szCs w:val="18"/>
              </w:rPr>
              <w:t xml:space="preserve">;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Гора</w:t>
            </w:r>
            <w:r>
              <w:rPr>
                <w:spacing w:val="-2"/>
                <w:sz w:val="18"/>
                <w:szCs w:val="18"/>
              </w:rPr>
              <w:t xml:space="preserve">-П</w:t>
            </w:r>
            <w:r>
              <w:rPr>
                <w:spacing w:val="-2"/>
                <w:sz w:val="18"/>
                <w:szCs w:val="18"/>
              </w:rPr>
              <w:t xml:space="preserve">одольский медпункт, Отделение связи;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с. Гора-Подол, ул. Борисенко, 43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0,031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Козинка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Козинская школа (1 ввод); с. Козинка, </w:t>
            </w:r>
            <w:r>
              <w:rPr>
                <w:spacing w:val="-2"/>
                <w:sz w:val="18"/>
                <w:szCs w:val="18"/>
              </w:rPr>
              <w:br/>
            </w:r>
            <w:r>
              <w:rPr>
                <w:spacing w:val="-2"/>
                <w:sz w:val="18"/>
                <w:szCs w:val="18"/>
              </w:rPr>
              <w:t xml:space="preserve">ул. Центральная, 18; Козинские школьные мастерские; с. Козинка, ул. Центральная, 18; Козинский медпункт; с. Козинка, ул. Центральная, 15; Реабилитационный центр для несовершеннолетних; </w:t>
            </w:r>
            <w:r>
              <w:rPr>
                <w:spacing w:val="-2"/>
                <w:sz w:val="18"/>
                <w:szCs w:val="18"/>
              </w:rPr>
              <w:br/>
            </w:r>
            <w:r>
              <w:rPr>
                <w:spacing w:val="-2"/>
                <w:sz w:val="18"/>
                <w:szCs w:val="18"/>
              </w:rPr>
              <w:t xml:space="preserve">с. Козинка, ул. Центральная, 21; </w:t>
            </w:r>
            <w:r>
              <w:rPr>
                <w:spacing w:val="-2"/>
                <w:sz w:val="18"/>
                <w:szCs w:val="18"/>
              </w:rPr>
              <w:br/>
            </w:r>
            <w:r>
              <w:rPr>
                <w:spacing w:val="-2"/>
                <w:sz w:val="18"/>
                <w:szCs w:val="18"/>
              </w:rPr>
              <w:t xml:space="preserve">ж/д Центральная, 13, 15, 17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0,879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Кирпичный завод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ж/д Кирпичный завод, 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0,088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Смородино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Смородинская администрация; с. Смородино, </w:t>
            </w:r>
            <w:r>
              <w:rPr>
                <w:spacing w:val="-2"/>
                <w:sz w:val="18"/>
                <w:szCs w:val="18"/>
              </w:rPr>
              <w:br/>
            </w:r>
            <w:r>
              <w:rPr>
                <w:spacing w:val="-2"/>
                <w:sz w:val="18"/>
                <w:szCs w:val="18"/>
              </w:rPr>
              <w:t xml:space="preserve">ул.</w:t>
            </w:r>
            <w:r>
              <w:rPr>
                <w:spacing w:val="-2"/>
                <w:sz w:val="18"/>
                <w:szCs w:val="18"/>
              </w:rPr>
              <w:t xml:space="preserve"> Выгон, 52; Смородинская школа;</w:t>
            </w:r>
            <w:r>
              <w:rPr>
                <w:spacing w:val="-2"/>
                <w:sz w:val="18"/>
                <w:szCs w:val="18"/>
              </w:rPr>
              <w:t xml:space="preserve"> с. Смородино, ул. Выгон, 62; Смородинский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дом культуры;  с. Смородино, ул. Выгон, 61; Смородинский медпункт;  с. Смородино,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ул. Выгон, 60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0,325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Мокрая Орловка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МБОУ «</w:t>
            </w:r>
            <w:r>
              <w:rPr>
                <w:spacing w:val="-2"/>
                <w:sz w:val="18"/>
                <w:szCs w:val="18"/>
              </w:rPr>
              <w:t xml:space="preserve">Мокроорловская СОШ</w:t>
            </w:r>
            <w:r>
              <w:rPr>
                <w:spacing w:val="-2"/>
                <w:sz w:val="18"/>
                <w:szCs w:val="18"/>
              </w:rPr>
              <w:t xml:space="preserve">»</w:t>
            </w:r>
            <w:r>
              <w:rPr>
                <w:spacing w:val="-2"/>
                <w:sz w:val="18"/>
                <w:szCs w:val="18"/>
              </w:rPr>
              <w:t xml:space="preserve">; с. Мокрая Орловка, ул. Центральная, 45;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Дом-интернат для престарелых;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 xml:space="preserve">с. Мокрая Орловка, ул. Центральная, 47а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0,384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Дорогощь (школа)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МБОУ «</w:t>
            </w:r>
            <w:r>
              <w:rPr>
                <w:spacing w:val="-2"/>
                <w:sz w:val="18"/>
                <w:szCs w:val="18"/>
              </w:rPr>
              <w:t xml:space="preserve">Дорогощанская </w:t>
            </w:r>
            <w:r>
              <w:rPr>
                <w:spacing w:val="-2"/>
                <w:sz w:val="18"/>
                <w:szCs w:val="18"/>
              </w:rPr>
              <w:t xml:space="preserve">СОШ»</w:t>
            </w:r>
            <w:r>
              <w:rPr>
                <w:spacing w:val="-2"/>
                <w:sz w:val="18"/>
                <w:szCs w:val="18"/>
              </w:rPr>
              <w:t xml:space="preserve">, с. Дорогощь,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ул. Первомайская, 1; ж/д Первомайская, 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0,188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Дорогощь (детский сад)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Администрация Грайворонского городского округа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827" w:type="dxa"/>
            <w:vAlign w:val="center"/>
            <w:textDirection w:val="lrTb"/>
            <w:noWrap w:val="false"/>
          </w:tcPr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Дорогощанский детский сад; </w:t>
            </w:r>
            <w:r/>
          </w:p>
          <w:p>
            <w:pPr>
              <w:jc w:val="center"/>
              <w:rPr>
                <w:spacing w:val="-2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с. Дорогощь, ул. Песчаная, 2а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0,031</w:t>
            </w:r>
            <w:r/>
          </w:p>
        </w:tc>
      </w:tr>
    </w:tbl>
    <w:p>
      <w:pPr>
        <w:ind w:firstLine="567"/>
        <w:jc w:val="both"/>
      </w:pPr>
      <w:r/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Зоны действия котельных Грайворонского городского округа представлены на рисунках 1-20.</w:t>
      </w:r>
      <w:r/>
    </w:p>
    <w:p>
      <w:pPr>
        <w:jc w:val="both"/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70784"/>
                <wp:effectExtent l="19050" t="19050" r="22225" b="20116"/>
                <wp:docPr id="3" name="Рисунок 6" descr="C:\Users\Турбо\Desktop\Отправка_Грайворон\Зона действия_Луначарского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Турбо\Desktop\Отправка_Грайворон\Зона действия_Луначарского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33707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8pt;height:265.4pt;" strokecolor="#4F81BD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1. Зона действия котельной Луначарского</w:t>
      </w:r>
      <w:r/>
    </w:p>
    <w:p>
      <w:pPr>
        <w:jc w:val="center"/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43918"/>
                <wp:effectExtent l="19050" t="19050" r="22225" b="27982"/>
                <wp:docPr id="4" name="Рисунок 15" descr="C:\Users\Турбо\Desktop\Отправка_Грайворон\Зона действия_Шухова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Турбо\Desktop\Отправка_Грайворон\Зона действия_Шухова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37439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4.8pt;" strokecolor="#4F81BD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2. Зона действия котельной Шухова </w:t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05510"/>
                <wp:effectExtent l="19050" t="19050" r="22225" b="23540"/>
                <wp:docPr id="5" name="Рисунок 82" descr="C:\Users\Турбо\Desktop\Отправка_Грайворон\Зона действия_ПНИ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Турбо\Desktop\Отправка_Грайворон\Зона действия_ПНИ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5" cy="3805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67.8pt;height:299.6pt;" strokecolor="#4F81BD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3. Зона действия котельной ПНИ </w:t>
      </w:r>
      <w:r/>
    </w:p>
    <w:p>
      <w:pPr>
        <w:jc w:val="center"/>
      </w:pPr>
      <w:r>
        <w:rPr>
          <w:b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666" cy="2679589"/>
                <wp:effectExtent l="19050" t="19050" r="27984" b="25511"/>
                <wp:docPr id="6" name="Рисунок 12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12" hidden="0"/>
                        <pic:cNvPicPr/>
                        <pic:nvPr isPhoto="0" userDrawn="0"/>
                      </pic:nvPicPr>
                      <pic:blipFill>
                        <a:blip r:embed="rId20"/>
                        <a:srcRect l="0" t="10372" r="0" b="0"/>
                        <a:stretch/>
                      </pic:blipFill>
                      <pic:spPr bwMode="auto">
                        <a:xfrm>
                          <a:off x="0" y="0"/>
                          <a:ext cx="5940425" cy="26821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67.3pt;height:211.0pt;" strokecolor="#4F81BD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4. Зона действия котельной Администрация округа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78" cy="3490623"/>
                <wp:effectExtent l="19050" t="19050" r="22172" b="14577"/>
                <wp:docPr id="7" name="Рисунок 14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Рисунок 14" hidden="0"/>
                        <pic:cNvPicPr/>
                        <pic:nvPr isPhoto="0" userDrawn="0"/>
                      </pic:nvPicPr>
                      <pic:blipFill>
                        <a:blip r:embed="rId21"/>
                        <a:srcRect l="0" t="8351" r="0" b="0"/>
                        <a:stretch/>
                      </pic:blipFill>
                      <pic:spPr bwMode="auto">
                        <a:xfrm>
                          <a:off x="0" y="0"/>
                          <a:ext cx="5940425" cy="3490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67.8pt;height:274.9pt;" strokecolor="#4F81BD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5. Зона действия котельной ОПБ ТКУ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144" cy="2274073"/>
                <wp:effectExtent l="19050" t="19050" r="19506" b="11927"/>
                <wp:docPr id="8" name="Рисунок 2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 hidden="0"/>
                        <pic:cNvPicPr/>
                        <pic:nvPr isPhoto="0" userDrawn="0"/>
                      </pic:nvPicPr>
                      <pic:blipFill>
                        <a:blip r:embed="rId22"/>
                        <a:srcRect l="0" t="24139" r="0" b="-1"/>
                        <a:stretch/>
                      </pic:blipFill>
                      <pic:spPr bwMode="auto">
                        <a:xfrm>
                          <a:off x="0" y="0"/>
                          <a:ext cx="5940425" cy="22730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68.0pt;height:179.1pt;" strokecolor="#4F81BD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6. Зона действия котельной с. Козинка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494" cy="3562184"/>
                <wp:effectExtent l="19050" t="19050" r="23156" b="19216"/>
                <wp:docPr id="9" name="Рисунок 83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6" hidden="0"/>
                        <pic:cNvPicPr/>
                        <pic:nvPr isPhoto="0" userDrawn="0"/>
                      </pic:nvPicPr>
                      <pic:blipFill>
                        <a:blip r:embed="rId23"/>
                        <a:srcRect l="0" t="6666" r="0" b="0"/>
                        <a:stretch/>
                      </pic:blipFill>
                      <pic:spPr bwMode="auto">
                        <a:xfrm>
                          <a:off x="0" y="0"/>
                          <a:ext cx="5940425" cy="35627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67.7pt;height:280.5pt;" strokecolor="#4F81BD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7. Зона действия котельной с. Гора-Подол (школа)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1673" cy="2035106"/>
                <wp:effectExtent l="19050" t="19050" r="11927" b="22294"/>
                <wp:docPr id="10" name="Рисунок 8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8" hidden="0"/>
                        <pic:cNvPicPr/>
                        <pic:nvPr isPhoto="0" userDrawn="0"/>
                      </pic:nvPicPr>
                      <pic:blipFill>
                        <a:blip r:embed="rId24"/>
                        <a:srcRect l="0" t="38759" r="0" b="0"/>
                        <a:stretch/>
                      </pic:blipFill>
                      <pic:spPr bwMode="auto">
                        <a:xfrm>
                          <a:off x="0" y="0"/>
                          <a:ext cx="5940425" cy="20381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67.1pt;height:160.2pt;" strokecolor="#4F81BD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8. Зона действия котельной с. Гора-Подол (администрация)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5629" cy="2321781"/>
                <wp:effectExtent l="19050" t="19050" r="17021" b="21369"/>
                <wp:docPr id="11" name="Рисунок 11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11" hidden="0"/>
                        <pic:cNvPicPr/>
                        <pic:nvPr isPhoto="0" userDrawn="0"/>
                      </pic:nvPicPr>
                      <pic:blipFill>
                        <a:blip r:embed="rId25"/>
                        <a:srcRect l="0" t="22341" r="0" b="0"/>
                        <a:stretch/>
                      </pic:blipFill>
                      <pic:spPr bwMode="auto">
                        <a:xfrm>
                          <a:off x="0" y="0"/>
                          <a:ext cx="5940425" cy="23197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8.2pt;height:182.8pt;" strokecolor="#4F81BD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9. Зона действия котельной Кирпичный завод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390" cy="2822713"/>
                <wp:effectExtent l="19050" t="19050" r="25260" b="15737"/>
                <wp:docPr id="12" name="Рисунок 95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Рисунок 16" hidden="0"/>
                        <pic:cNvPicPr/>
                        <pic:nvPr isPhoto="0" userDrawn="0"/>
                      </pic:nvPicPr>
                      <pic:blipFill>
                        <a:blip r:embed="rId26"/>
                        <a:srcRect l="0" t="12777" r="0" b="0"/>
                        <a:stretch/>
                      </pic:blipFill>
                      <pic:spPr bwMode="auto">
                        <a:xfrm>
                          <a:off x="0" y="0"/>
                          <a:ext cx="5940425" cy="28241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67.5pt;height:222.3pt;" strokecolor="#4F81BD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10. Зона действия котельной с. Безымено</w:t>
      </w:r>
      <w:r/>
    </w:p>
    <w:p>
      <w:pPr>
        <w:jc w:val="center"/>
        <w:rPr>
          <w:sz w:val="28"/>
        </w:rPr>
      </w:pPr>
      <w:r>
        <w:rPr>
          <w:sz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39" cy="2687541"/>
                <wp:effectExtent l="19050" t="19050" r="22911" b="17559"/>
                <wp:docPr id="13" name="Рисунок 101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18" hidden="0"/>
                        <pic:cNvPicPr/>
                        <pic:nvPr isPhoto="0" userDrawn="0"/>
                      </pic:nvPicPr>
                      <pic:blipFill>
                        <a:blip r:embed="rId27"/>
                        <a:srcRect l="0" t="16335" r="0" b="0"/>
                        <a:stretch/>
                      </pic:blipFill>
                      <pic:spPr bwMode="auto">
                        <a:xfrm>
                          <a:off x="0" y="0"/>
                          <a:ext cx="5940425" cy="26878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67.7pt;height:211.6pt;" strokecolor="#4F81BD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11. Зона действия котельной с. Смородино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90984" cy="2552369"/>
                <wp:effectExtent l="19050" t="19050" r="19216" b="19381"/>
                <wp:docPr id="14" name="Рисунок 113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Рисунок 20" hidden="0"/>
                        <pic:cNvPicPr/>
                        <pic:nvPr isPhoto="0" userDrawn="0"/>
                      </pic:nvPicPr>
                      <pic:blipFill>
                        <a:blip r:embed="rId28"/>
                        <a:srcRect l="0" t="17234" r="0" b="0"/>
                        <a:stretch/>
                      </pic:blipFill>
                      <pic:spPr bwMode="auto">
                        <a:xfrm>
                          <a:off x="0" y="0"/>
                          <a:ext cx="5388873" cy="25513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24.5pt;height:201.0pt;" strokecolor="#4F81BD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12. Зона действия котельной с. Мокрая Орловка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1135" cy="2743200"/>
                <wp:effectExtent l="19050" t="19050" r="21515" b="19050"/>
                <wp:docPr id="15" name="Рисунок 117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Рисунок 23" hidden="0"/>
                        <pic:cNvPicPr/>
                        <pic:nvPr isPhoto="0" userDrawn="0"/>
                      </pic:nvPicPr>
                      <pic:blipFill>
                        <a:blip r:embed="rId29"/>
                        <a:srcRect l="0" t="13098" r="0" b="0"/>
                        <a:stretch/>
                      </pic:blipFill>
                      <pic:spPr bwMode="auto">
                        <a:xfrm>
                          <a:off x="0" y="0"/>
                          <a:ext cx="5940425" cy="27428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467.8pt;height:216.0pt;" strokecolor="#4F81BD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13. Зона действия котельной с. Головчино (поселок)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5280" cy="3434963"/>
                <wp:effectExtent l="19050" t="19050" r="27370" b="13087"/>
                <wp:docPr id="16" name="Рисунок 118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Рисунок 24" hidden="0"/>
                        <pic:cNvPicPr/>
                        <pic:nvPr isPhoto="0" userDrawn="0"/>
                      </pic:nvPicPr>
                      <pic:blipFill>
                        <a:blip r:embed="rId30"/>
                        <a:srcRect l="0" t="13772" r="0" b="0"/>
                        <a:stretch/>
                      </pic:blipFill>
                      <pic:spPr bwMode="auto">
                        <a:xfrm>
                          <a:off x="0" y="0"/>
                          <a:ext cx="5940425" cy="3437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467.3pt;height:270.5pt;" strokecolor="#4F81BD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14. Зона действия котельной с. Головчино (больница)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1330" cy="2854518"/>
                <wp:effectExtent l="19050" t="19050" r="21320" b="22032"/>
                <wp:docPr id="17" name="Рисунок 119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26" hidden="0"/>
                        <pic:cNvPicPr/>
                        <pic:nvPr isPhoto="0" userDrawn="0"/>
                      </pic:nvPicPr>
                      <pic:blipFill>
                        <a:blip r:embed="rId31"/>
                        <a:srcRect l="0" t="14929" r="0" b="0"/>
                        <a:stretch/>
                      </pic:blipFill>
                      <pic:spPr bwMode="auto">
                        <a:xfrm>
                          <a:off x="0" y="0"/>
                          <a:ext cx="5940425" cy="28540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224.8pt;" strokecolor="#4F81BD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15. Зона действия котельной с. Головчино (школа)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8828" cy="2814761"/>
                <wp:effectExtent l="19050" t="19050" r="23822" b="23689"/>
                <wp:docPr id="18" name="Рисунок 120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Рисунок 29" hidden="0"/>
                        <pic:cNvPicPr/>
                        <pic:nvPr isPhoto="0" userDrawn="0"/>
                      </pic:nvPicPr>
                      <pic:blipFill>
                        <a:blip r:embed="rId32"/>
                        <a:srcRect l="0" t="18245" r="0" b="0"/>
                        <a:stretch/>
                      </pic:blipFill>
                      <pic:spPr bwMode="auto">
                        <a:xfrm>
                          <a:off x="0" y="0"/>
                          <a:ext cx="5940425" cy="28155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6pt;height:221.6pt;" strokecolor="#4F81BD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16. Зона действия котельной п. Горьковский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9250" cy="1653871"/>
                <wp:effectExtent l="19050" t="19050" r="14350" b="22529"/>
                <wp:docPr id="19" name="Рисунок 121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Рисунок 31" hidden="0"/>
                        <pic:cNvPicPr/>
                        <pic:nvPr isPhoto="0" userDrawn="0"/>
                      </pic:nvPicPr>
                      <pic:blipFill>
                        <a:blip r:embed="rId33"/>
                        <a:srcRect l="0" t="29730" r="0" b="0"/>
                        <a:stretch/>
                      </pic:blipFill>
                      <pic:spPr bwMode="auto">
                        <a:xfrm>
                          <a:off x="0" y="0"/>
                          <a:ext cx="5940425" cy="16569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466.9pt;height:130.2pt;" strokecolor="#4F81BD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17. Зона действия котельной с. Дорогощь (детский сад)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8582" cy="2385391"/>
                <wp:effectExtent l="19050" t="19050" r="24068" b="14908"/>
                <wp:docPr id="20" name="Рисунок 123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Рисунок 65" hidden="0"/>
                        <pic:cNvPicPr/>
                        <pic:nvPr isPhoto="0" userDrawn="0"/>
                      </pic:nvPicPr>
                      <pic:blipFill>
                        <a:blip r:embed="rId34"/>
                        <a:srcRect l="0" t="18478" r="0" b="0"/>
                        <a:stretch/>
                      </pic:blipFill>
                      <pic:spPr bwMode="auto">
                        <a:xfrm>
                          <a:off x="0" y="0"/>
                          <a:ext cx="5940425" cy="23861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6pt;height:187.8pt;" strokecolor="#4F81BD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18. Зона действия котельной с. Дорогощь (школа)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6522" cy="2902226"/>
                <wp:effectExtent l="19050" t="19050" r="16127" b="12424"/>
                <wp:docPr id="21" name="Рисунок 124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Рисунок 67" hidden="0"/>
                        <pic:cNvPicPr/>
                        <pic:nvPr isPhoto="0" userDrawn="0"/>
                      </pic:nvPicPr>
                      <pic:blipFill>
                        <a:blip r:embed="rId35"/>
                        <a:srcRect l="0" t="14520" r="0" b="0"/>
                        <a:stretch/>
                      </pic:blipFill>
                      <pic:spPr bwMode="auto">
                        <a:xfrm>
                          <a:off x="0" y="0"/>
                          <a:ext cx="5940425" cy="289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468.2pt;height:228.5pt;" strokecolor="#4F81BD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19. Зона действия котельной с. Доброе (школа)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2164" cy="2576222"/>
                <wp:effectExtent l="19050" t="19050" r="11436" b="14578"/>
                <wp:docPr id="22" name="Рисунок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rcRect l="0" t="0" r="0" b="16495"/>
                        <a:stretch/>
                      </pic:blipFill>
                      <pic:spPr bwMode="auto">
                        <a:xfrm>
                          <a:off x="0" y="0"/>
                          <a:ext cx="5934075" cy="25770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467.1pt;height:202.9pt;" strokecolor="#4F81BD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20. Зона действия котельной с. Замостье</w:t>
      </w:r>
      <w:r/>
    </w:p>
    <w:p>
      <w:pPr>
        <w:ind w:firstLine="709"/>
        <w:jc w:val="both"/>
        <w:tabs>
          <w:tab w:val="left" w:pos="1845" w:leader="none"/>
        </w:tabs>
      </w:pPr>
      <w:r/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Тепловые нагрузки объектов индивидуальной жилой застройки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мелких потребителей учреждений социальной защиты, образования, здравоохранения, культуры обеспечиваются от индивидуальных систем отопления. Подключение существующей индивидуальной застройки к сетям централизованного теплоснабжения не планируется.</w:t>
      </w:r>
      <w:r/>
    </w:p>
    <w:p>
      <w:pPr>
        <w:ind w:firstLine="709"/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09"/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теплоисточников Грайворонского городского округа</w:t>
      </w:r>
      <w:r/>
    </w:p>
    <w:p>
      <w:pPr>
        <w:ind w:firstLine="709"/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Луначарского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6,64 Гкал/час. Котельная Луначарского предназначена для обеспечения тепловой энергией жилых и социальных потребителей, находящихся на территории Грайворонского городского округа. 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котельной установлено 2 водогрейных котла типа КСВ-1,86Г тепловой производительностью 1,6 Гкал/час, и 2 водогрейных котла КВа-2,0 тепловой производительностью 1,72 Гкал/час. 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Схема присоединения потребителя к тепловым сетям – закрытая, зависимая.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-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4,0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 Структура основного оборудования котельной Луначарского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представлена в таблицах 3 - 4.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Луначарского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3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39"/>
        <w:gridCol w:w="4816"/>
        <w:gridCol w:w="4215"/>
      </w:tblGrid>
      <w:tr>
        <w:trPr>
          <w:tblHeader/>
        </w:trPr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6,64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3,227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КСВ-1,86Г; КВа-2,0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rPr>
                <w:spacing w:val="-1"/>
              </w:rPr>
              <w:t xml:space="preserve">Na-</w:t>
            </w:r>
            <w:r>
              <w:rPr>
                <w:spacing w:val="-2"/>
              </w:rPr>
              <w:t xml:space="preserve">Катионирование, двухступенчатая, </w:t>
            </w:r>
            <w:r>
              <w:t xml:space="preserve">25 м</w:t>
            </w:r>
            <w:r>
              <w:rPr>
                <w:position w:val="9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10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tabs>
          <w:tab w:val="left" w:pos="1845" w:leader="none"/>
        </w:tabs>
      </w:pPr>
      <w:r/>
      <w:r/>
    </w:p>
    <w:p>
      <w:pPr>
        <w:jc w:val="right"/>
        <w:tabs>
          <w:tab w:val="left" w:pos="1845" w:leader="none"/>
        </w:tabs>
      </w:pPr>
      <w:r/>
      <w:r/>
    </w:p>
    <w:p>
      <w:pPr>
        <w:jc w:val="center"/>
        <w:tabs>
          <w:tab w:val="left" w:pos="1845" w:leader="none"/>
        </w:tabs>
        <w:rPr>
          <w:b/>
        </w:rPr>
      </w:pPr>
      <w:r>
        <w:rPr>
          <w:b/>
        </w:rPr>
        <w:t xml:space="preserve">Структура насосного оборудования</w:t>
      </w:r>
      <w:r>
        <w:rPr>
          <w:b/>
        </w:rPr>
        <w:t xml:space="preserve"> </w:t>
      </w:r>
      <w:r>
        <w:rPr>
          <w:b/>
        </w:rPr>
        <w:t xml:space="preserve">котельной</w:t>
      </w:r>
      <w:r/>
    </w:p>
    <w:p>
      <w:pPr>
        <w:jc w:val="center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right"/>
        <w:tabs>
          <w:tab w:val="left" w:pos="1845" w:leader="none"/>
        </w:tabs>
      </w:pPr>
      <w:r>
        <w:t xml:space="preserve">Таблица </w:t>
      </w:r>
      <w:r>
        <w:t xml:space="preserve">4</w:t>
      </w:r>
      <w:r/>
    </w:p>
    <w:p>
      <w:pPr>
        <w:jc w:val="right"/>
        <w:tabs>
          <w:tab w:val="left" w:pos="1845" w:leader="none"/>
        </w:tabs>
      </w:pPr>
      <w:r/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425"/>
        <w:gridCol w:w="1659"/>
        <w:gridCol w:w="1962"/>
        <w:gridCol w:w="800"/>
        <w:gridCol w:w="1237"/>
        <w:gridCol w:w="946"/>
        <w:gridCol w:w="2541"/>
      </w:tblGrid>
      <w:tr>
        <w:trPr>
          <w:trHeight w:val="402"/>
        </w:trPr>
        <w:tc>
          <w:tcPr>
            <w:tcW w:w="190" w:type="pct"/>
            <w:vAlign w:val="center"/>
            <w:vMerge w:val="restart"/>
            <w:textDirection w:val="lrTb"/>
            <w:noWrap w:val="false"/>
          </w:tcPr>
          <w:p>
            <w:pPr>
              <w:ind w:left="-33"/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75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05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44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119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135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19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75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05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4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67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 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52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135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70"/>
        </w:trPr>
        <w:tc>
          <w:tcPr>
            <w:tcW w:w="19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Сетевой</w:t>
            </w:r>
            <w:r/>
          </w:p>
        </w:tc>
        <w:tc>
          <w:tcPr>
            <w:tcW w:w="1055" w:type="pct"/>
            <w:vAlign w:val="center"/>
            <w:textDirection w:val="lrTb"/>
            <w:noWrap w:val="false"/>
          </w:tcPr>
          <w:p>
            <w:pPr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КМ 100-80-160</w:t>
            </w:r>
            <w:r/>
          </w:p>
        </w:tc>
        <w:tc>
          <w:tcPr>
            <w:tcW w:w="448" w:type="pct"/>
            <w:vAlign w:val="center"/>
            <w:textDirection w:val="lrTb"/>
            <w:noWrap w:val="false"/>
          </w:tcPr>
          <w:p>
            <w:pPr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2</w:t>
            </w:r>
            <w:r/>
          </w:p>
        </w:tc>
        <w:tc>
          <w:tcPr>
            <w:tcW w:w="67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100</w:t>
            </w:r>
            <w:r/>
          </w:p>
        </w:tc>
        <w:tc>
          <w:tcPr>
            <w:tcW w:w="52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32</w:t>
            </w:r>
            <w:r/>
          </w:p>
        </w:tc>
        <w:tc>
          <w:tcPr>
            <w:tcW w:w="135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108"/>
        </w:trPr>
        <w:tc>
          <w:tcPr>
            <w:tcW w:w="19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Сетевой</w:t>
            </w:r>
            <w:r/>
          </w:p>
        </w:tc>
        <w:tc>
          <w:tcPr>
            <w:tcW w:w="1055" w:type="pct"/>
            <w:vAlign w:val="center"/>
            <w:textDirection w:val="lrTb"/>
            <w:noWrap w:val="false"/>
          </w:tcPr>
          <w:p>
            <w:pPr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КМ 100-65-200</w:t>
            </w:r>
            <w:r/>
          </w:p>
        </w:tc>
        <w:tc>
          <w:tcPr>
            <w:tcW w:w="448" w:type="pct"/>
            <w:vAlign w:val="center"/>
            <w:textDirection w:val="lrTb"/>
            <w:noWrap w:val="false"/>
          </w:tcPr>
          <w:p>
            <w:pPr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2</w:t>
            </w:r>
            <w:r/>
          </w:p>
        </w:tc>
        <w:tc>
          <w:tcPr>
            <w:tcW w:w="67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100</w:t>
            </w:r>
            <w:r/>
          </w:p>
        </w:tc>
        <w:tc>
          <w:tcPr>
            <w:tcW w:w="52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135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19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Сетевой</w:t>
            </w:r>
            <w:r/>
          </w:p>
        </w:tc>
        <w:tc>
          <w:tcPr>
            <w:tcW w:w="1055" w:type="pct"/>
            <w:vAlign w:val="center"/>
            <w:textDirection w:val="lrTb"/>
            <w:noWrap w:val="false"/>
          </w:tcPr>
          <w:p>
            <w:pPr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 xml:space="preserve">Wilo-BL-80/160-18,5/2</w:t>
            </w:r>
            <w:r/>
          </w:p>
        </w:tc>
        <w:tc>
          <w:tcPr>
            <w:tcW w:w="448" w:type="pct"/>
            <w:vAlign w:val="center"/>
            <w:textDirection w:val="lrTb"/>
            <w:noWrap w:val="false"/>
          </w:tcPr>
          <w:p>
            <w:pPr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67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160</w:t>
            </w:r>
            <w:r/>
          </w:p>
        </w:tc>
        <w:tc>
          <w:tcPr>
            <w:tcW w:w="52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28</w:t>
            </w:r>
            <w:r/>
          </w:p>
        </w:tc>
        <w:tc>
          <w:tcPr>
            <w:tcW w:w="135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19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Подпиточный</w:t>
            </w:r>
            <w:r/>
          </w:p>
        </w:tc>
        <w:tc>
          <w:tcPr>
            <w:tcW w:w="1055" w:type="pct"/>
            <w:vAlign w:val="center"/>
            <w:textDirection w:val="lrTb"/>
            <w:noWrap w:val="false"/>
          </w:tcPr>
          <w:p>
            <w:pPr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К-20-30</w:t>
            </w:r>
            <w:r/>
          </w:p>
        </w:tc>
        <w:tc>
          <w:tcPr>
            <w:tcW w:w="448" w:type="pct"/>
            <w:vAlign w:val="center"/>
            <w:textDirection w:val="lrTb"/>
            <w:noWrap w:val="false"/>
          </w:tcPr>
          <w:p>
            <w:pPr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2</w:t>
            </w:r>
            <w:r/>
          </w:p>
        </w:tc>
        <w:tc>
          <w:tcPr>
            <w:tcW w:w="67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52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135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19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Подпиточный</w:t>
            </w:r>
            <w:r/>
          </w:p>
        </w:tc>
        <w:tc>
          <w:tcPr>
            <w:tcW w:w="1055" w:type="pct"/>
            <w:vAlign w:val="center"/>
            <w:textDirection w:val="lrTb"/>
            <w:noWrap w:val="false"/>
          </w:tcPr>
          <w:p>
            <w:pPr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 xml:space="preserve">ADB</w:t>
            </w:r>
            <w:r>
              <w:rPr>
                <w:rFonts w:eastAsia="Calibri"/>
              </w:rPr>
              <w:t xml:space="preserve">-70</w:t>
            </w:r>
            <w:r/>
          </w:p>
        </w:tc>
        <w:tc>
          <w:tcPr>
            <w:tcW w:w="448" w:type="pct"/>
            <w:vAlign w:val="center"/>
            <w:textDirection w:val="lrTb"/>
            <w:noWrap w:val="false"/>
          </w:tcPr>
          <w:p>
            <w:pPr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67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1,2</w:t>
            </w:r>
            <w:r/>
          </w:p>
        </w:tc>
        <w:tc>
          <w:tcPr>
            <w:tcW w:w="52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40</w:t>
            </w:r>
            <w:r/>
          </w:p>
        </w:tc>
        <w:tc>
          <w:tcPr>
            <w:tcW w:w="135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Шухова</w:t>
      </w:r>
      <w:r/>
    </w:p>
    <w:p>
      <w:pPr>
        <w:ind w:firstLine="567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</w:t>
      </w:r>
      <w:r>
        <w:rPr>
          <w:sz w:val="28"/>
          <w:szCs w:val="28"/>
        </w:rPr>
        <w:t xml:space="preserve">овая мощность котельной составляет 2,46 Гкал/час. Котельная Шухова предназначена для обеспечения тепловой энергией жилых и социальных потребителей, находящихся на территории Грайворонского городского округа. В котельной установлен 1 водогрейный котел типа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КВа-1,6 тепловой производительностью 1,38 Гкал/час и 1 водогрейный котел типа КВа-1,25 тепловой производительностью 1,08 Гкал/час.</w:t>
      </w:r>
      <w:r/>
    </w:p>
    <w:p>
      <w:pPr>
        <w:ind w:firstLine="567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567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Схема присоединения потребителя к тепловым сетям – закрытая, зависимая. ГВС – отсутствует.</w:t>
      </w:r>
      <w:r/>
    </w:p>
    <w:p>
      <w:pPr>
        <w:ind w:firstLine="567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4,0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567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Шухова представлена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5 - 6.</w:t>
      </w:r>
      <w:r/>
    </w:p>
    <w:p>
      <w:pPr>
        <w:ind w:firstLine="567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Шухова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5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4"/>
        <w:gridCol w:w="4206"/>
      </w:tblGrid>
      <w:tr>
        <w:trPr>
          <w:tblHeader/>
        </w:trPr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2,45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1,911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rStyle w:val="1030"/>
                <w:b w:val="0"/>
                <w:sz w:val="24"/>
                <w:szCs w:val="24"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КВа-1,6 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rPr>
                <w:rStyle w:val="1030"/>
                <w:b w:val="0"/>
                <w:sz w:val="24"/>
                <w:szCs w:val="24"/>
              </w:rPr>
              <w:t xml:space="preserve">КВа-1,25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Na-кат. Двухступенчатая, 5,5 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tabs>
          <w:tab w:val="left" w:pos="1845" w:leader="none"/>
        </w:tabs>
      </w:pPr>
      <w:r/>
      <w:r/>
    </w:p>
    <w:p>
      <w:pPr>
        <w:jc w:val="center"/>
        <w:tabs>
          <w:tab w:val="left" w:pos="1845" w:leader="none"/>
        </w:tabs>
        <w:rPr>
          <w:b/>
        </w:rPr>
      </w:pPr>
      <w:r>
        <w:rPr>
          <w:b/>
        </w:rPr>
        <w:t xml:space="preserve">Насосное оборудование котельной</w:t>
      </w:r>
      <w:r/>
    </w:p>
    <w:p>
      <w:pPr>
        <w:jc w:val="center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right"/>
        <w:tabs>
          <w:tab w:val="left" w:pos="1845" w:leader="none"/>
        </w:tabs>
      </w:pPr>
      <w:r>
        <w:t xml:space="preserve">Таблица </w:t>
      </w:r>
      <w:r>
        <w:t xml:space="preserve">6</w:t>
      </w:r>
      <w:r/>
    </w:p>
    <w:p>
      <w:pPr>
        <w:jc w:val="right"/>
        <w:tabs>
          <w:tab w:val="left" w:pos="1845" w:leader="none"/>
        </w:tabs>
      </w:pPr>
      <w:r/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1659"/>
        <w:gridCol w:w="2010"/>
        <w:gridCol w:w="1204"/>
        <w:gridCol w:w="1242"/>
        <w:gridCol w:w="1064"/>
        <w:gridCol w:w="1831"/>
      </w:tblGrid>
      <w:tr>
        <w:trPr>
          <w:trHeight w:val="564"/>
        </w:trPr>
        <w:tc>
          <w:tcPr>
            <w:tcW w:w="30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п/п</w:t>
            </w:r>
            <w:r/>
          </w:p>
        </w:tc>
        <w:tc>
          <w:tcPr>
            <w:tcW w:w="86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08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65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шт,</w:t>
            </w:r>
            <w:r/>
          </w:p>
        </w:tc>
        <w:tc>
          <w:tcPr>
            <w:gridSpan w:val="2"/>
            <w:tcW w:w="125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82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30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86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089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65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67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58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82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283"/>
        </w:trPr>
        <w:tc>
          <w:tcPr>
            <w:tcW w:w="30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860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100-65-200</w:t>
            </w:r>
            <w:r/>
          </w:p>
        </w:tc>
        <w:tc>
          <w:tcPr>
            <w:tcW w:w="656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67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100</w:t>
            </w:r>
            <w:r/>
          </w:p>
        </w:tc>
        <w:tc>
          <w:tcPr>
            <w:tcW w:w="58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82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30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860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КМ 80-50-200</w:t>
            </w:r>
            <w:r/>
          </w:p>
        </w:tc>
        <w:tc>
          <w:tcPr>
            <w:tcW w:w="656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</w:t>
            </w:r>
            <w:r/>
          </w:p>
        </w:tc>
        <w:tc>
          <w:tcPr>
            <w:tcW w:w="67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58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82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30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3</w:t>
            </w:r>
            <w:r/>
          </w:p>
        </w:tc>
        <w:tc>
          <w:tcPr>
            <w:tcW w:w="860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Wilo BL 65/160-11/2</w:t>
            </w:r>
            <w:r/>
          </w:p>
        </w:tc>
        <w:tc>
          <w:tcPr>
            <w:tcW w:w="656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67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>
              <w:rPr>
                <w:lang w:val="en-US"/>
              </w:rPr>
              <w:t xml:space="preserve">1</w:t>
            </w:r>
            <w:r>
              <w:t xml:space="preserve">0</w:t>
            </w:r>
            <w:r/>
          </w:p>
        </w:tc>
        <w:tc>
          <w:tcPr>
            <w:tcW w:w="58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28</w:t>
            </w:r>
            <w:r/>
          </w:p>
        </w:tc>
        <w:tc>
          <w:tcPr>
            <w:tcW w:w="82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30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4</w:t>
            </w:r>
            <w:r/>
          </w:p>
        </w:tc>
        <w:tc>
          <w:tcPr>
            <w:tcW w:w="860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20/30</w:t>
            </w:r>
            <w:r/>
          </w:p>
        </w:tc>
        <w:tc>
          <w:tcPr>
            <w:tcW w:w="656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</w:t>
            </w:r>
            <w:r/>
          </w:p>
        </w:tc>
        <w:tc>
          <w:tcPr>
            <w:tcW w:w="67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58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82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30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5</w:t>
            </w:r>
            <w:r/>
          </w:p>
        </w:tc>
        <w:tc>
          <w:tcPr>
            <w:tcW w:w="860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089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ADB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0</w:t>
            </w:r>
            <w:r/>
          </w:p>
        </w:tc>
        <w:tc>
          <w:tcPr>
            <w:tcW w:w="656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67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t xml:space="preserve">1,</w:t>
            </w:r>
            <w:r>
              <w:rPr>
                <w:lang w:val="en-US"/>
              </w:rPr>
              <w:t xml:space="preserve">3</w:t>
            </w:r>
            <w:r/>
          </w:p>
        </w:tc>
        <w:tc>
          <w:tcPr>
            <w:tcW w:w="58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30</w:t>
            </w:r>
            <w:r/>
          </w:p>
        </w:tc>
        <w:tc>
          <w:tcPr>
            <w:tcW w:w="82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spacing w:after="120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ПНИ</w:t>
      </w:r>
      <w:r/>
    </w:p>
    <w:p>
      <w:pPr>
        <w:ind w:firstLine="567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2,51 Гкал/час. Котельная ПНИ для обеспечения тепловой энергией жилых и социальных потребителей, находящихся на территории Грайворонского городского округа.</w:t>
      </w:r>
      <w:r/>
    </w:p>
    <w:p>
      <w:pPr>
        <w:ind w:firstLine="567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котельной установлено 4 водогрейных котла типа НР-18 тепловой производительностью 0,52 Гкал/час и 1 водогрейный котел LamborghiniMegaPrex N500тепловой производительностью 0,43 Гкал/час.</w:t>
      </w:r>
      <w:r/>
    </w:p>
    <w:p>
      <w:pPr>
        <w:ind w:firstLine="567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567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Схема присоединения потребителя к тепловым сетям – закрытая, зависимая.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ГВС – присутствует.</w:t>
      </w:r>
      <w:r/>
    </w:p>
    <w:p>
      <w:pPr>
        <w:ind w:firstLine="567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4,5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 </w:t>
      </w:r>
      <w:r/>
    </w:p>
    <w:p>
      <w:pPr>
        <w:ind w:firstLine="567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№3 представлена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7 - 8.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/>
    </w:p>
    <w:p>
      <w:pPr>
        <w:ind w:firstLine="567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ПНИ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7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4"/>
        <w:gridCol w:w="4206"/>
      </w:tblGrid>
      <w:tr>
        <w:trPr>
          <w:tblHeader/>
        </w:trPr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2,51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1,749 Гкал/час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ГВС 0,192Гкал/час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rStyle w:val="1030"/>
                <w:b w:val="0"/>
                <w:sz w:val="24"/>
                <w:szCs w:val="24"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НР-18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Lamborghini MegaPrex N500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Na-кат. Двухступенчатая, 5,5 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tabs>
          <w:tab w:val="left" w:pos="1845" w:leader="none"/>
        </w:tabs>
        <w:rPr>
          <w:sz w:val="28"/>
        </w:rPr>
      </w:pPr>
      <w:r>
        <w:rPr>
          <w:sz w:val="28"/>
        </w:rPr>
      </w:r>
      <w:r/>
    </w:p>
    <w:p>
      <w:pPr>
        <w:jc w:val="center"/>
        <w:keepNext/>
        <w:tabs>
          <w:tab w:val="left" w:pos="1845" w:leader="none"/>
        </w:tabs>
        <w:rPr>
          <w:b/>
          <w:sz w:val="28"/>
        </w:rPr>
      </w:pPr>
      <w:r>
        <w:rPr>
          <w:b/>
          <w:sz w:val="28"/>
        </w:rPr>
        <w:t xml:space="preserve">Структура насосного оборудования Котельной ПНИ</w:t>
      </w:r>
      <w:r/>
    </w:p>
    <w:p>
      <w:pPr>
        <w:jc w:val="center"/>
        <w:keepNext/>
        <w:tabs>
          <w:tab w:val="left" w:pos="1845" w:leader="none"/>
        </w:tabs>
        <w:rPr>
          <w:b/>
          <w:sz w:val="28"/>
        </w:rPr>
      </w:pPr>
      <w:r>
        <w:rPr>
          <w:b/>
          <w:sz w:val="28"/>
        </w:rPr>
      </w:r>
      <w:r/>
    </w:p>
    <w:p>
      <w:pPr>
        <w:jc w:val="right"/>
        <w:keepNext/>
        <w:tabs>
          <w:tab w:val="left" w:pos="1845" w:leader="none"/>
        </w:tabs>
        <w:rPr>
          <w:sz w:val="28"/>
        </w:rPr>
      </w:pPr>
      <w:r>
        <w:rPr>
          <w:sz w:val="28"/>
        </w:rPr>
        <w:t xml:space="preserve">Таблица 8</w:t>
      </w:r>
      <w:r/>
    </w:p>
    <w:p>
      <w:pPr>
        <w:jc w:val="right"/>
        <w:keepNext/>
        <w:tabs>
          <w:tab w:val="left" w:pos="1845" w:leader="none"/>
        </w:tabs>
        <w:rPr>
          <w:sz w:val="28"/>
        </w:rPr>
      </w:pPr>
      <w:r>
        <w:rPr>
          <w:sz w:val="28"/>
        </w:rPr>
      </w:r>
      <w:r/>
    </w:p>
    <w:tbl>
      <w:tblPr>
        <w:tblW w:w="944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1850"/>
        <w:gridCol w:w="2126"/>
        <w:gridCol w:w="1110"/>
        <w:gridCol w:w="1232"/>
        <w:gridCol w:w="1062"/>
        <w:gridCol w:w="1509"/>
      </w:tblGrid>
      <w:tr>
        <w:trPr>
          <w:trHeight w:val="564"/>
        </w:trPr>
        <w:tc>
          <w:tcPr>
            <w:tcW w:w="56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п/п</w:t>
            </w:r>
            <w:r/>
          </w:p>
        </w:tc>
        <w:tc>
          <w:tcPr>
            <w:tcW w:w="1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11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</w:t>
            </w:r>
            <w:r>
              <w:rPr>
                <w:b/>
                <w:lang w:val="en-US"/>
              </w:rPr>
              <w:t xml:space="preserve">.</w:t>
            </w:r>
            <w:r/>
          </w:p>
        </w:tc>
        <w:tc>
          <w:tcPr>
            <w:gridSpan w:val="2"/>
            <w:tcW w:w="229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15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85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1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150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1850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КМ 80-50-200</w:t>
            </w:r>
            <w:r/>
          </w:p>
        </w:tc>
        <w:tc>
          <w:tcPr>
            <w:tcW w:w="111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1850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КМ 100-65-200</w:t>
            </w:r>
            <w:r/>
          </w:p>
        </w:tc>
        <w:tc>
          <w:tcPr>
            <w:tcW w:w="111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94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1850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45/40</w:t>
            </w:r>
            <w:r/>
          </w:p>
        </w:tc>
        <w:tc>
          <w:tcPr>
            <w:tcW w:w="111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45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4</w:t>
            </w:r>
            <w:r/>
          </w:p>
        </w:tc>
        <w:tc>
          <w:tcPr>
            <w:tcW w:w="1850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Wilo BL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/160-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/2</w:t>
            </w:r>
            <w:r/>
          </w:p>
        </w:tc>
        <w:tc>
          <w:tcPr>
            <w:tcW w:w="111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110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28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5</w:t>
            </w:r>
            <w:r/>
          </w:p>
        </w:tc>
        <w:tc>
          <w:tcPr>
            <w:tcW w:w="1850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ГВС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80-50-160</w:t>
            </w:r>
            <w:r/>
          </w:p>
        </w:tc>
        <w:tc>
          <w:tcPr>
            <w:tcW w:w="111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6</w:t>
            </w:r>
            <w:r/>
          </w:p>
        </w:tc>
        <w:tc>
          <w:tcPr>
            <w:tcW w:w="1850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ГВС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КМ 80-50-160</w:t>
            </w:r>
            <w:r/>
          </w:p>
        </w:tc>
        <w:tc>
          <w:tcPr>
            <w:tcW w:w="111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7</w:t>
            </w:r>
            <w:r/>
          </w:p>
        </w:tc>
        <w:tc>
          <w:tcPr>
            <w:tcW w:w="1850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20/30</w:t>
            </w:r>
            <w:r/>
          </w:p>
        </w:tc>
        <w:tc>
          <w:tcPr>
            <w:tcW w:w="111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8</w:t>
            </w:r>
            <w:r/>
          </w:p>
        </w:tc>
        <w:tc>
          <w:tcPr>
            <w:tcW w:w="1850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К-20</w:t>
            </w:r>
            <w:r/>
          </w:p>
        </w:tc>
        <w:tc>
          <w:tcPr>
            <w:tcW w:w="111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1,8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21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9</w:t>
            </w:r>
            <w:r/>
          </w:p>
        </w:tc>
        <w:tc>
          <w:tcPr>
            <w:tcW w:w="1850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В-40</w:t>
            </w:r>
            <w:r/>
          </w:p>
        </w:tc>
        <w:tc>
          <w:tcPr>
            <w:tcW w:w="111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1,3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10</w:t>
            </w:r>
            <w:r/>
          </w:p>
        </w:tc>
        <w:tc>
          <w:tcPr>
            <w:tcW w:w="1850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Циркуляцион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-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ный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20/30</w:t>
            </w:r>
            <w:r/>
          </w:p>
        </w:tc>
        <w:tc>
          <w:tcPr>
            <w:tcW w:w="111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11</w:t>
            </w:r>
            <w:r/>
          </w:p>
        </w:tc>
        <w:tc>
          <w:tcPr>
            <w:tcW w:w="1850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Циркуляцион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-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ный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45/30</w:t>
            </w:r>
            <w:r/>
          </w:p>
        </w:tc>
        <w:tc>
          <w:tcPr>
            <w:tcW w:w="111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45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12</w:t>
            </w:r>
            <w:r/>
          </w:p>
        </w:tc>
        <w:tc>
          <w:tcPr>
            <w:tcW w:w="1850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Циркуляцион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-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ный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WILO IPL 50/160-0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55-4</w:t>
            </w:r>
            <w:r/>
          </w:p>
        </w:tc>
        <w:tc>
          <w:tcPr>
            <w:tcW w:w="111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45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Администрация округа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0,344 Гкал/час. Котельная Администрации округа предназначена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для обеспечения тепловой энергией жилых и социальных потребителей, находящихся на территории Грайворонского городского округа. 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котельной установлено 4 водогрейных котла типа Хопёр-100 тепловой производительностью 0,09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Схема присоединения потребителя к тепловым сетям – закрытая, зависимая.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2,0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№4 представлена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9 - 10.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Администрация округа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9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4"/>
        <w:gridCol w:w="4206"/>
      </w:tblGrid>
      <w:tr>
        <w:trPr>
          <w:tblHeader/>
        </w:trPr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0,344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0,333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Хопер-100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KWS-70 TA; 0,4-0,8 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  <w:br w:type="page"/>
      </w:r>
      <w:r/>
    </w:p>
    <w:p>
      <w:pPr>
        <w:jc w:val="right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Насосное оборудование Котельной Администрация округа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keepNext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10</w:t>
      </w:r>
      <w:r/>
    </w:p>
    <w:p>
      <w:pPr>
        <w:jc w:val="right"/>
        <w:keepNext/>
        <w:tabs>
          <w:tab w:val="left" w:pos="1845" w:leader="none"/>
        </w:tabs>
      </w:pPr>
      <w:r/>
      <w:r/>
    </w:p>
    <w:tbl>
      <w:tblPr>
        <w:tblW w:w="944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1992"/>
        <w:gridCol w:w="1708"/>
        <w:gridCol w:w="1386"/>
        <w:gridCol w:w="1232"/>
        <w:gridCol w:w="1062"/>
        <w:gridCol w:w="1509"/>
      </w:tblGrid>
      <w:tr>
        <w:trPr>
          <w:trHeight w:val="564"/>
        </w:trPr>
        <w:tc>
          <w:tcPr>
            <w:tcW w:w="56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п/п</w:t>
            </w:r>
            <w:r/>
          </w:p>
        </w:tc>
        <w:tc>
          <w:tcPr>
            <w:tcW w:w="199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7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138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 </w:t>
            </w:r>
            <w:r/>
          </w:p>
        </w:tc>
        <w:tc>
          <w:tcPr>
            <w:gridSpan w:val="2"/>
            <w:tcW w:w="229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15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99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70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38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150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1992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70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Grundfos UPS 40-180 F</w:t>
            </w:r>
            <w:r/>
          </w:p>
        </w:tc>
        <w:tc>
          <w:tcPr>
            <w:tcW w:w="138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24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150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1992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708" w:type="dxa"/>
            <w:vAlign w:val="center"/>
            <w:textDirection w:val="lrTb"/>
            <w:noWrap w:val="false"/>
          </w:tcPr>
          <w:p>
            <w:pPr>
              <w:pStyle w:val="879"/>
              <w:ind w:left="-142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АЦМС 8-30</w:t>
            </w:r>
            <w:r/>
          </w:p>
        </w:tc>
        <w:tc>
          <w:tcPr>
            <w:tcW w:w="1386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27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ОПБ ТКУ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1,03 Гкал/час. Котельная ОПБ ТКУ предназначена для обеспечения тепловой энергией социальных потребителей, находящихся на территории Грайворонского городского округа. 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котельной установлен 1 водогрейный котла типа ТТМ-400 тепловой производительностью 0,35 Гкал/час и 1 водогрейный котла типа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ТТМ-800 тепловой производительностью 0,69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Схема присоединения потребителя к тепловым сетям – закрытая, зависимая. Система ГВС закрытая.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3,0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№5 представлена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таблицах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11-11.1.</w:t>
      </w:r>
      <w:r/>
    </w:p>
    <w:p>
      <w:pPr>
        <w:jc w:val="right"/>
        <w:keepNext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ОПБ ТКУ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keepNext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11</w:t>
      </w:r>
      <w:r/>
    </w:p>
    <w:p>
      <w:pPr>
        <w:jc w:val="right"/>
        <w:keepNext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5"/>
        <w:gridCol w:w="4205"/>
      </w:tblGrid>
      <w:tr>
        <w:trPr>
          <w:tblHeader/>
        </w:trPr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1,03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0,57 Гкал/час;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ГВС 0,09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rStyle w:val="1030"/>
                <w:b w:val="0"/>
                <w:sz w:val="24"/>
                <w:szCs w:val="24"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ТТМ-400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ТТМ-800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STF</w:t>
            </w:r>
            <w:r>
              <w:t xml:space="preserve">-10-54-85001,9м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Имеется</w:t>
            </w:r>
            <w:r/>
          </w:p>
        </w:tc>
      </w:tr>
    </w:tbl>
    <w:p>
      <w:pPr>
        <w:jc w:val="right"/>
        <w:tabs>
          <w:tab w:val="left" w:pos="1845" w:leader="none"/>
        </w:tabs>
      </w:pPr>
      <w:r/>
      <w:r/>
    </w:p>
    <w:p>
      <w:pPr>
        <w:jc w:val="center"/>
        <w:tabs>
          <w:tab w:val="left" w:pos="1845" w:leader="none"/>
        </w:tabs>
        <w:rPr>
          <w:b/>
          <w:sz w:val="28"/>
        </w:rPr>
      </w:pPr>
      <w:r>
        <w:rPr>
          <w:b/>
          <w:sz w:val="28"/>
        </w:rPr>
        <w:t xml:space="preserve">Насосное оборудование котельной ОПБ ТКУ</w:t>
      </w:r>
      <w:r/>
    </w:p>
    <w:p>
      <w:pPr>
        <w:jc w:val="right"/>
        <w:tabs>
          <w:tab w:val="left" w:pos="1845" w:leader="none"/>
        </w:tabs>
        <w:rPr>
          <w:sz w:val="28"/>
        </w:rPr>
      </w:pPr>
      <w:r>
        <w:rPr>
          <w:sz w:val="28"/>
        </w:rPr>
        <w:t xml:space="preserve">Таблица 11.1</w:t>
      </w:r>
      <w:r/>
    </w:p>
    <w:p>
      <w:pPr>
        <w:jc w:val="center"/>
        <w:tabs>
          <w:tab w:val="left" w:pos="1845" w:leader="none"/>
        </w:tabs>
        <w:rPr>
          <w:b/>
          <w:sz w:val="28"/>
        </w:rPr>
      </w:pPr>
      <w:r>
        <w:rPr>
          <w:b/>
          <w:sz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458"/>
        <w:gridCol w:w="2034"/>
        <w:gridCol w:w="1680"/>
        <w:gridCol w:w="796"/>
        <w:gridCol w:w="1238"/>
        <w:gridCol w:w="946"/>
        <w:gridCol w:w="2418"/>
      </w:tblGrid>
      <w:tr>
        <w:trPr>
          <w:trHeight w:val="366"/>
        </w:trPr>
        <w:tc>
          <w:tcPr>
            <w:tcW w:w="15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92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92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46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 </w:t>
            </w:r>
            <w:r/>
          </w:p>
        </w:tc>
        <w:tc>
          <w:tcPr>
            <w:gridSpan w:val="2"/>
            <w:tcW w:w="1231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130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15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92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92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61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 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53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130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76"/>
        </w:trPr>
        <w:tc>
          <w:tcPr>
            <w:tcW w:w="15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923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92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lang w:val="en-US"/>
              </w:rPr>
              <w:t xml:space="preserve">IL-65/150</w:t>
            </w:r>
            <w:r>
              <w:t xml:space="preserve">-5,5/2</w:t>
            </w:r>
            <w:r/>
          </w:p>
        </w:tc>
        <w:tc>
          <w:tcPr>
            <w:tcW w:w="461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</w:t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45</w:t>
            </w:r>
            <w:r/>
          </w:p>
        </w:tc>
        <w:tc>
          <w:tcPr>
            <w:tcW w:w="53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40</w:t>
            </w:r>
            <w:r/>
          </w:p>
        </w:tc>
        <w:tc>
          <w:tcPr>
            <w:tcW w:w="130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6"/>
        </w:trPr>
        <w:tc>
          <w:tcPr>
            <w:tcW w:w="15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923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ГВС</w:t>
            </w:r>
            <w:r/>
          </w:p>
        </w:tc>
        <w:tc>
          <w:tcPr>
            <w:tcW w:w="923" w:type="pct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OPV 10-30</w:t>
            </w:r>
            <w:r/>
          </w:p>
        </w:tc>
        <w:tc>
          <w:tcPr>
            <w:tcW w:w="461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10</w:t>
            </w:r>
            <w:r/>
          </w:p>
        </w:tc>
        <w:tc>
          <w:tcPr>
            <w:tcW w:w="53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30</w:t>
            </w:r>
            <w:r/>
          </w:p>
        </w:tc>
        <w:tc>
          <w:tcPr>
            <w:tcW w:w="130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-</w:t>
            </w:r>
            <w:r/>
          </w:p>
        </w:tc>
      </w:tr>
      <w:tr>
        <w:trPr>
          <w:trHeight w:val="76"/>
        </w:trPr>
        <w:tc>
          <w:tcPr>
            <w:tcW w:w="15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3</w:t>
            </w:r>
            <w:r/>
          </w:p>
        </w:tc>
        <w:tc>
          <w:tcPr>
            <w:tcW w:w="923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Циркуляционный</w:t>
            </w:r>
            <w:r/>
          </w:p>
        </w:tc>
        <w:tc>
          <w:tcPr>
            <w:tcW w:w="923" w:type="pct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TOP-S-65/13</w:t>
            </w:r>
            <w:r/>
          </w:p>
        </w:tc>
        <w:tc>
          <w:tcPr>
            <w:tcW w:w="461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45</w:t>
            </w:r>
            <w:r/>
          </w:p>
        </w:tc>
        <w:tc>
          <w:tcPr>
            <w:tcW w:w="53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40</w:t>
            </w:r>
            <w:r/>
          </w:p>
        </w:tc>
        <w:tc>
          <w:tcPr>
            <w:tcW w:w="130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-</w:t>
            </w:r>
            <w:r/>
          </w:p>
        </w:tc>
      </w:tr>
      <w:tr>
        <w:trPr>
          <w:trHeight w:val="76"/>
        </w:trPr>
        <w:tc>
          <w:tcPr>
            <w:tcW w:w="15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923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Циркуляционный</w:t>
            </w:r>
            <w:r/>
          </w:p>
        </w:tc>
        <w:tc>
          <w:tcPr>
            <w:tcW w:w="923" w:type="pct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TOP-S-50/10</w:t>
            </w:r>
            <w:r/>
          </w:p>
        </w:tc>
        <w:tc>
          <w:tcPr>
            <w:tcW w:w="461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45</w:t>
            </w:r>
            <w:r/>
          </w:p>
        </w:tc>
        <w:tc>
          <w:tcPr>
            <w:tcW w:w="53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40</w:t>
            </w:r>
            <w:r/>
          </w:p>
        </w:tc>
        <w:tc>
          <w:tcPr>
            <w:tcW w:w="130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-</w:t>
            </w:r>
            <w:r/>
          </w:p>
        </w:tc>
      </w:tr>
      <w:tr>
        <w:trPr>
          <w:trHeight w:val="76"/>
        </w:trPr>
        <w:tc>
          <w:tcPr>
            <w:tcW w:w="15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5</w:t>
            </w:r>
            <w:r/>
          </w:p>
        </w:tc>
        <w:tc>
          <w:tcPr>
            <w:tcW w:w="923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92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lang w:val="en-US"/>
              </w:rPr>
              <w:t xml:space="preserve">HM</w:t>
            </w:r>
            <w:r>
              <w:t xml:space="preserve">П-603-1</w:t>
            </w:r>
            <w:r/>
          </w:p>
        </w:tc>
        <w:tc>
          <w:tcPr>
            <w:tcW w:w="461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53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130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15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6</w:t>
            </w:r>
            <w:r/>
          </w:p>
        </w:tc>
        <w:tc>
          <w:tcPr>
            <w:tcW w:w="923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923" w:type="pct"/>
            <w:vAlign w:val="center"/>
            <w:textDirection w:val="lrTb"/>
            <w:noWrap w:val="false"/>
          </w:tcPr>
          <w:p>
            <w:pPr>
              <w:pStyle w:val="879"/>
              <w:ind w:left="-142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ADB-40</w:t>
            </w:r>
            <w:r/>
          </w:p>
        </w:tc>
        <w:tc>
          <w:tcPr>
            <w:tcW w:w="461" w:type="pct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69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0</w:t>
            </w:r>
            <w:r>
              <w:t xml:space="preserve">,</w:t>
            </w:r>
            <w:r>
              <w:rPr>
                <w:lang w:val="en-US"/>
              </w:rPr>
              <w:t xml:space="preserve">6</w:t>
            </w:r>
            <w:r/>
          </w:p>
        </w:tc>
        <w:tc>
          <w:tcPr>
            <w:tcW w:w="53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20</w:t>
            </w:r>
            <w:r/>
          </w:p>
        </w:tc>
        <w:tc>
          <w:tcPr>
            <w:tcW w:w="130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с. Козинка ТКУ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1,1 Гкал</w:t>
      </w:r>
      <w:r>
        <w:rPr>
          <w:sz w:val="28"/>
          <w:szCs w:val="28"/>
        </w:rPr>
        <w:t xml:space="preserve">/час. Котельная ТКУ с. Козинка предназначена для обеспечения тепловой энергией жилых и социальных потребителей, находящихся на территории с. Козинка. В котельной установлено 2 водогрейных котла типа Вулкан VK-550 тепловой производительностью 0,47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Схема присоединения потребителя к тепловым сетям – закрытая, зависимая.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4,0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с. Козинка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ТКУ представлена в таблицах 12-12.1.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с. Козинка ТКУ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12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4"/>
        <w:gridCol w:w="4206"/>
      </w:tblGrid>
      <w:tr>
        <w:trPr>
          <w:tblHeader/>
        </w:trPr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1,1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0,879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  <w:lang w:val="en-US"/>
              </w:rPr>
              <w:t xml:space="preserve">VK-5</w:t>
            </w:r>
            <w:r>
              <w:rPr>
                <w:rStyle w:val="1030"/>
                <w:b w:val="0"/>
                <w:sz w:val="24"/>
                <w:szCs w:val="24"/>
              </w:rPr>
              <w:t xml:space="preserve">5</w:t>
            </w:r>
            <w:r>
              <w:rPr>
                <w:rStyle w:val="1030"/>
                <w:b w:val="0"/>
                <w:sz w:val="24"/>
                <w:szCs w:val="24"/>
                <w:lang w:val="en-US"/>
              </w:rPr>
              <w:t xml:space="preserve">0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rPr>
                <w:lang w:val="en-US"/>
              </w:rPr>
              <w:t xml:space="preserve">STF</w:t>
            </w:r>
            <w:r>
              <w:t xml:space="preserve">-10-54-8500      1,9м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tabs>
          <w:tab w:val="left" w:pos="1845" w:leader="none"/>
        </w:tabs>
      </w:pPr>
      <w:r/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Насосное оборудование котельной с. Козинка ТКУ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12.1</w:t>
      </w:r>
      <w:r/>
    </w:p>
    <w:p>
      <w:pPr>
        <w:jc w:val="right"/>
        <w:tabs>
          <w:tab w:val="left" w:pos="1845" w:leader="none"/>
        </w:tabs>
      </w:pPr>
      <w:r/>
      <w:r/>
    </w:p>
    <w:tbl>
      <w:tblPr>
        <w:tblW w:w="921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842"/>
        <w:gridCol w:w="1418"/>
        <w:gridCol w:w="850"/>
        <w:gridCol w:w="1276"/>
        <w:gridCol w:w="992"/>
        <w:gridCol w:w="2410"/>
      </w:tblGrid>
      <w:tr>
        <w:trPr>
          <w:trHeight w:val="366"/>
        </w:trPr>
        <w:tc>
          <w:tcPr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 </w:t>
            </w:r>
            <w:r/>
          </w:p>
        </w:tc>
        <w:tc>
          <w:tcPr>
            <w:gridSpan w:val="2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24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84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41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 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24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76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1842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Wilo R50/170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35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40</w:t>
            </w:r>
            <w:r/>
          </w:p>
        </w:tc>
        <w:tc>
          <w:tcPr>
            <w:tcW w:w="241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2</w:t>
            </w:r>
            <w:r/>
          </w:p>
        </w:tc>
        <w:tc>
          <w:tcPr>
            <w:tcW w:w="1842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879"/>
              <w:ind w:left="-142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WILO MHI 203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pStyle w:val="879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1.2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30</w:t>
            </w:r>
            <w:r/>
          </w:p>
        </w:tc>
        <w:tc>
          <w:tcPr>
            <w:tcW w:w="241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spacing w:after="120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с. Гора-Подол (школа)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2,58 Гкал/час. Котельная с. Гора – Подол (школа) предназначена для обеспечения тепловой энергией жилых и социальных потребителей, находящихся на территории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с. Гора-Подол. 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котельной установлен 3 водогрейный котел типа Факел Г тепловой производительностью 0,9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Схема присоединения потребителя к тепловым сетям – закрытая, зависимая. 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3,0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с. Гора-Подол (школа) представлена 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13 - 14.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с. Гора-Подол (школа)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13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5"/>
        <w:gridCol w:w="4205"/>
      </w:tblGrid>
      <w:tr>
        <w:trPr>
          <w:tblHeader/>
        </w:trPr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2,58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0,453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Факел Г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Na-кат. двухступенчатая; 7 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tabs>
          <w:tab w:val="left" w:pos="1845" w:leader="none"/>
        </w:tabs>
      </w:pPr>
      <w:r/>
      <w:r/>
    </w:p>
    <w:p>
      <w:pPr>
        <w:jc w:val="center"/>
        <w:tabs>
          <w:tab w:val="left" w:pos="1845" w:leader="none"/>
        </w:tabs>
        <w:rPr>
          <w:b/>
        </w:rPr>
      </w:pPr>
      <w:r>
        <w:rPr>
          <w:b/>
        </w:rPr>
        <w:t xml:space="preserve">Насосное оборудование Котельной с. Гора-Подол (школа)</w:t>
      </w:r>
      <w:r/>
    </w:p>
    <w:p>
      <w:pPr>
        <w:jc w:val="center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right"/>
        <w:tabs>
          <w:tab w:val="left" w:pos="1845" w:leader="none"/>
        </w:tabs>
      </w:pPr>
      <w:r>
        <w:t xml:space="preserve">Таблица </w:t>
      </w:r>
      <w:r>
        <w:t xml:space="preserve">14</w:t>
      </w:r>
      <w:r/>
    </w:p>
    <w:p>
      <w:pPr>
        <w:jc w:val="right"/>
        <w:tabs>
          <w:tab w:val="left" w:pos="1845" w:leader="none"/>
        </w:tabs>
      </w:pPr>
      <w:r/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458"/>
        <w:gridCol w:w="1659"/>
        <w:gridCol w:w="1106"/>
        <w:gridCol w:w="814"/>
        <w:gridCol w:w="1402"/>
        <w:gridCol w:w="1698"/>
        <w:gridCol w:w="2433"/>
      </w:tblGrid>
      <w:tr>
        <w:trPr>
          <w:trHeight w:val="151"/>
        </w:trPr>
        <w:tc>
          <w:tcPr>
            <w:tcW w:w="20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76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60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4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167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129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20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76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60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76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 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91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1299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70"/>
        </w:trPr>
        <w:tc>
          <w:tcPr>
            <w:tcW w:w="20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76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Сетевой</w:t>
            </w:r>
            <w:r/>
          </w:p>
        </w:tc>
        <w:tc>
          <w:tcPr>
            <w:tcW w:w="606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К-45/30</w:t>
            </w:r>
            <w:r/>
          </w:p>
        </w:tc>
        <w:tc>
          <w:tcPr>
            <w:tcW w:w="453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76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45</w:t>
            </w:r>
            <w:r/>
          </w:p>
        </w:tc>
        <w:tc>
          <w:tcPr>
            <w:tcW w:w="91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129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20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76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Сетевой</w:t>
            </w:r>
            <w:r/>
          </w:p>
        </w:tc>
        <w:tc>
          <w:tcPr>
            <w:tcW w:w="606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К-45/30</w:t>
            </w:r>
            <w:r/>
          </w:p>
        </w:tc>
        <w:tc>
          <w:tcPr>
            <w:tcW w:w="453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76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45</w:t>
            </w:r>
            <w:r/>
          </w:p>
        </w:tc>
        <w:tc>
          <w:tcPr>
            <w:tcW w:w="91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129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20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76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Подпиточный</w:t>
            </w:r>
            <w:r/>
          </w:p>
        </w:tc>
        <w:tc>
          <w:tcPr>
            <w:tcW w:w="606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К-20-30</w:t>
            </w:r>
            <w:r/>
          </w:p>
        </w:tc>
        <w:tc>
          <w:tcPr>
            <w:tcW w:w="453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76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91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129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20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76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Подпиточный</w:t>
            </w:r>
            <w:r/>
          </w:p>
        </w:tc>
        <w:tc>
          <w:tcPr>
            <w:tcW w:w="606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 xml:space="preserve">PQ40</w:t>
            </w:r>
            <w:r/>
          </w:p>
        </w:tc>
        <w:tc>
          <w:tcPr>
            <w:tcW w:w="453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76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rPr>
                <w:lang w:val="en-US"/>
              </w:rPr>
              <w:t xml:space="preserve">2</w:t>
            </w:r>
            <w:r>
              <w:t xml:space="preserve">,4</w:t>
            </w:r>
            <w:r/>
          </w:p>
        </w:tc>
        <w:tc>
          <w:tcPr>
            <w:tcW w:w="91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40</w:t>
            </w:r>
            <w:r/>
          </w:p>
        </w:tc>
        <w:tc>
          <w:tcPr>
            <w:tcW w:w="129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с. Гора-Подол (администрация)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0,056 Гкал/час. Котельная с. Гора-Подол (администрация) для обеспечения тепловой энергией жилых и социальных потребителей, находящихся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территории с. Гора-Подол. В котельной установлено 2 водогрейных котла типа Elektrolux тепловой производительностью 0,026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Схема присоединения потребителя к тепловым сетям – закрытая, зависимая. 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1,5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с. Гора-Подол (администрация) представлена 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15 - 16.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keepNext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с. Гора-Подол (администрация)</w:t>
      </w:r>
      <w:r/>
    </w:p>
    <w:p>
      <w:pPr>
        <w:jc w:val="center"/>
        <w:keepNext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keepNext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15</w:t>
      </w:r>
      <w:r/>
    </w:p>
    <w:p>
      <w:pPr>
        <w:jc w:val="right"/>
        <w:keepNext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5"/>
        <w:gridCol w:w="4205"/>
      </w:tblGrid>
      <w:tr>
        <w:trPr>
          <w:tblHeader/>
        </w:trPr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0,056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0,031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Elektrolux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tabs>
          <w:tab w:val="left" w:pos="1845" w:leader="none"/>
        </w:tabs>
      </w:pPr>
      <w:r/>
      <w:r/>
    </w:p>
    <w:p>
      <w:pPr>
        <w:jc w:val="center"/>
        <w:tabs>
          <w:tab w:val="left" w:pos="1845" w:leader="none"/>
        </w:tabs>
        <w:rPr>
          <w:b/>
          <w:szCs w:val="28"/>
        </w:rPr>
      </w:pPr>
      <w:r>
        <w:rPr>
          <w:b/>
        </w:rPr>
        <w:t xml:space="preserve">Насосное оборудование </w:t>
      </w:r>
      <w:r>
        <w:rPr>
          <w:b/>
          <w:szCs w:val="28"/>
        </w:rPr>
        <w:t xml:space="preserve">с. Гора-Подол (администрация)</w:t>
      </w:r>
      <w:r/>
    </w:p>
    <w:p>
      <w:pPr>
        <w:jc w:val="center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right"/>
        <w:tabs>
          <w:tab w:val="left" w:pos="1845" w:leader="none"/>
        </w:tabs>
      </w:pPr>
      <w:r>
        <w:t xml:space="preserve">Таблица </w:t>
      </w:r>
      <w:r>
        <w:t xml:space="preserve">16</w:t>
      </w:r>
      <w:r/>
    </w:p>
    <w:p>
      <w:pPr>
        <w:jc w:val="right"/>
        <w:tabs>
          <w:tab w:val="left" w:pos="1845" w:leader="none"/>
        </w:tabs>
      </w:pPr>
      <w:r/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458"/>
        <w:gridCol w:w="1659"/>
        <w:gridCol w:w="1514"/>
        <w:gridCol w:w="748"/>
        <w:gridCol w:w="1189"/>
        <w:gridCol w:w="1779"/>
        <w:gridCol w:w="2223"/>
      </w:tblGrid>
      <w:tr>
        <w:trPr>
          <w:trHeight w:val="242"/>
        </w:trPr>
        <w:tc>
          <w:tcPr>
            <w:tcW w:w="20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76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68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4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167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122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20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76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68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68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 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991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122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86"/>
        </w:trPr>
        <w:tc>
          <w:tcPr>
            <w:tcW w:w="20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76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Сетевой</w:t>
            </w:r>
            <w:r/>
          </w:p>
        </w:tc>
        <w:tc>
          <w:tcPr>
            <w:tcW w:w="683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 xml:space="preserve">GRUNDFOS</w:t>
            </w:r>
            <w:r/>
          </w:p>
        </w:tc>
        <w:tc>
          <w:tcPr>
            <w:tcW w:w="453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2</w:t>
            </w:r>
            <w:r/>
          </w:p>
        </w:tc>
        <w:tc>
          <w:tcPr>
            <w:tcW w:w="68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1,2</w:t>
            </w:r>
            <w:r/>
          </w:p>
        </w:tc>
        <w:tc>
          <w:tcPr>
            <w:tcW w:w="991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122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132"/>
        </w:trPr>
        <w:tc>
          <w:tcPr>
            <w:tcW w:w="20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76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Подпиточный</w:t>
            </w:r>
            <w:r/>
          </w:p>
        </w:tc>
        <w:tc>
          <w:tcPr>
            <w:tcW w:w="683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ADB-35</w:t>
            </w:r>
            <w:r/>
          </w:p>
        </w:tc>
        <w:tc>
          <w:tcPr>
            <w:tcW w:w="453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68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0,6</w:t>
            </w:r>
            <w:r/>
          </w:p>
        </w:tc>
        <w:tc>
          <w:tcPr>
            <w:tcW w:w="991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35</w:t>
            </w:r>
            <w:r/>
          </w:p>
        </w:tc>
        <w:tc>
          <w:tcPr>
            <w:tcW w:w="122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Кирпичный завод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0,168 Гкал/час. Котельная Кирпичный завод предназначена для обеспечения тепловой энергией жилых и социальных потребителей, находящихся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территории с. Гора-Подол. 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котельной установлен 1 водогрейный котел ИШМА-100 тепловой производительностью 0,08 Гкал/час 1 водогрейный котел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Хопёр-100 тепловой производительностью 0,08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Схема присоединения потребителя к тепловым сетям – закрытая, зависимая. 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2,5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Кирпичный завод представлена в таблице 17 - 18.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Кирпичный завод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17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4"/>
        <w:gridCol w:w="4206"/>
      </w:tblGrid>
      <w:tr>
        <w:trPr>
          <w:tblHeader/>
        </w:trPr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0,168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0,088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ИШМА-100, Хопёр-100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WS-0835; 1,0 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tabs>
          <w:tab w:val="left" w:pos="1845" w:leader="none"/>
        </w:tabs>
      </w:pPr>
      <w:r/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Насосное оборудование Котельной Кирпичный завод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18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944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1708"/>
        <w:gridCol w:w="1992"/>
        <w:gridCol w:w="1386"/>
        <w:gridCol w:w="1232"/>
        <w:gridCol w:w="1062"/>
        <w:gridCol w:w="1509"/>
      </w:tblGrid>
      <w:tr>
        <w:trPr>
          <w:trHeight w:val="564"/>
        </w:trPr>
        <w:tc>
          <w:tcPr>
            <w:tcW w:w="56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п/п</w:t>
            </w:r>
            <w:r/>
          </w:p>
        </w:tc>
        <w:tc>
          <w:tcPr>
            <w:tcW w:w="17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99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138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229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15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70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99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38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150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1708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992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8/18</w:t>
            </w:r>
            <w:r/>
          </w:p>
        </w:tc>
        <w:tc>
          <w:tcPr>
            <w:tcW w:w="1386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18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1708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992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Wilo Ipl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32/130-1,1/2</w:t>
            </w:r>
            <w:r/>
          </w:p>
        </w:tc>
        <w:tc>
          <w:tcPr>
            <w:tcW w:w="1386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15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1708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992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ADB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-40</w:t>
            </w:r>
            <w:r/>
          </w:p>
        </w:tc>
        <w:tc>
          <w:tcPr>
            <w:tcW w:w="1386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0,6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с. Безымено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</w:t>
      </w:r>
      <w:r>
        <w:rPr>
          <w:sz w:val="28"/>
          <w:szCs w:val="28"/>
        </w:rPr>
        <w:t xml:space="preserve"> 2,07 Гкал/час. Котельная с. Безымено предназначена для обеспечения тепловой энергией жилых и социальных потребителей, находящихся на территории с. Безымено. В котельной установлено 3 водогрейных котла типа Е-1/9 тепловой производительностью 0,69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Схема присоединения потребителя к тепловым сетям – закрытая, зависимая. 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  <w:t xml:space="preserve">4,0 </w:t>
      </w:r>
      <w:r>
        <w:rPr>
          <w:sz w:val="28"/>
          <w:szCs w:val="28"/>
        </w:rPr>
        <w:t xml:space="preserve">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с. Безымено  представлена 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19 - 20.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с. Безымено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19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4"/>
        <w:gridCol w:w="4206"/>
      </w:tblGrid>
      <w:tr>
        <w:trPr>
          <w:tblHeader/>
        </w:trPr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2,07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0,656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Е-1/9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ВПУ-5,0; 5,0 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tabs>
          <w:tab w:val="left" w:pos="1845" w:leader="none"/>
        </w:tabs>
      </w:pPr>
      <w:r/>
      <w:r/>
    </w:p>
    <w:p>
      <w:pPr>
        <w:jc w:val="center"/>
        <w:tabs>
          <w:tab w:val="left" w:pos="1845" w:leader="none"/>
        </w:tabs>
        <w:rPr>
          <w:b/>
        </w:rPr>
      </w:pPr>
      <w:r>
        <w:rPr>
          <w:b/>
        </w:rPr>
        <w:t xml:space="preserve">Насосное оборудование Котельной с. Безымено</w:t>
      </w:r>
      <w:r/>
    </w:p>
    <w:p>
      <w:pPr>
        <w:jc w:val="right"/>
        <w:tabs>
          <w:tab w:val="left" w:pos="1845" w:leader="none"/>
        </w:tabs>
      </w:pPr>
      <w:r>
        <w:t xml:space="preserve">Таблица </w:t>
      </w:r>
      <w:r>
        <w:t xml:space="preserve">20</w:t>
      </w:r>
      <w:r/>
    </w:p>
    <w:p>
      <w:pPr>
        <w:jc w:val="center"/>
        <w:tabs>
          <w:tab w:val="left" w:pos="1845" w:leader="none"/>
        </w:tabs>
        <w:rPr>
          <w:b/>
        </w:rPr>
      </w:pPr>
      <w:r>
        <w:rPr>
          <w:b/>
        </w:rPr>
      </w:r>
      <w:r/>
    </w:p>
    <w:tbl>
      <w:tblPr>
        <w:tblW w:w="944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1992"/>
        <w:gridCol w:w="1708"/>
        <w:gridCol w:w="1386"/>
        <w:gridCol w:w="1232"/>
        <w:gridCol w:w="1062"/>
        <w:gridCol w:w="1509"/>
      </w:tblGrid>
      <w:tr>
        <w:trPr>
          <w:trHeight w:val="564"/>
        </w:trPr>
        <w:tc>
          <w:tcPr>
            <w:tcW w:w="56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п/п</w:t>
            </w:r>
            <w:r/>
          </w:p>
        </w:tc>
        <w:tc>
          <w:tcPr>
            <w:tcW w:w="199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7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138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229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15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99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70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38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150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1992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708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КМ 80-65-160</w:t>
            </w:r>
            <w:r/>
          </w:p>
        </w:tc>
        <w:tc>
          <w:tcPr>
            <w:tcW w:w="1386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32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1992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708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45/30</w:t>
            </w:r>
            <w:r/>
          </w:p>
        </w:tc>
        <w:tc>
          <w:tcPr>
            <w:tcW w:w="1386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35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28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1992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708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20/30</w:t>
            </w:r>
            <w:r/>
          </w:p>
        </w:tc>
        <w:tc>
          <w:tcPr>
            <w:tcW w:w="1386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1992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708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ADB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-40</w:t>
            </w:r>
            <w:r/>
          </w:p>
        </w:tc>
        <w:tc>
          <w:tcPr>
            <w:tcW w:w="1386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3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0,6</w:t>
            </w:r>
            <w:r/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1509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с. Смородино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1,56 Гкал/час. Котельная с. Смородино предназначена для обеспечения тепловой энергией жилых и социальных потребителей, находящихся на территории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с. Смородино. В котельной установлено 3 водогрейных котла типа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НР-18 тепловой производительностью 0,52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Схема присоединения потребителя к тепловым сетям – закрытая, зависимая. ГВС – отсутствует.</w:t>
      </w:r>
      <w:r>
        <w:rPr>
          <w:sz w:val="28"/>
          <w:szCs w:val="28"/>
        </w:rPr>
        <w:tab/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3,0 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с. Смородино представлена 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21 - 22.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с. Смородино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21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5"/>
        <w:gridCol w:w="4205"/>
      </w:tblGrid>
      <w:tr>
        <w:trPr>
          <w:tblHeader/>
        </w:trPr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1,56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0,325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НР-18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ВПУ-2,5;   2,5м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tabs>
          <w:tab w:val="left" w:pos="1845" w:leader="none"/>
        </w:tabs>
      </w:pPr>
      <w:r/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Насосное оборудование Котельной с. Смородино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22</w:t>
      </w:r>
      <w:r/>
    </w:p>
    <w:p>
      <w:pPr>
        <w:jc w:val="center"/>
        <w:tabs>
          <w:tab w:val="left" w:pos="1845" w:leader="none"/>
        </w:tabs>
        <w:rPr>
          <w:b/>
        </w:rPr>
      </w:pPr>
      <w:r>
        <w:rPr>
          <w:b/>
        </w:rPr>
      </w:r>
      <w:r/>
    </w:p>
    <w:tbl>
      <w:tblPr>
        <w:tblW w:w="944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2126"/>
        <w:gridCol w:w="1276"/>
        <w:gridCol w:w="850"/>
        <w:gridCol w:w="1276"/>
        <w:gridCol w:w="1417"/>
        <w:gridCol w:w="2078"/>
      </w:tblGrid>
      <w:tr>
        <w:trPr>
          <w:trHeight w:val="202"/>
        </w:trPr>
        <w:tc>
          <w:tcPr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26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207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207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283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Сетевой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К-45/40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45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40</w:t>
            </w:r>
            <w:r/>
          </w:p>
        </w:tc>
        <w:tc>
          <w:tcPr>
            <w:tcW w:w="207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2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Подпиточный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К-65-50-160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t xml:space="preserve">2</w:t>
            </w:r>
            <w:r>
              <w:rPr>
                <w:lang w:val="en-US"/>
              </w:rPr>
              <w:t xml:space="preserve">0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207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3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Подпиточный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 xml:space="preserve">AD</w:t>
            </w:r>
            <w:r>
              <w:rPr>
                <w:rFonts w:eastAsia="Calibri"/>
              </w:rPr>
              <w:t xml:space="preserve">В-40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0,6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207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Котельной с. Мокрая Орловка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1,2 Гкал/час. Котельная с. Мокрая Орловка предназначена для обеспечения тепловой энергией жилых и социальных потребителей, находящихся на территории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с. Мокрая Орловка. В котельной установлено 2 водогрейных котла типа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КВГ 0,7-115 тепловой производительностью 0,6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Схема присоединения потребителя к тепловым сетям – закрытая, зависимая. 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2,4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с. Мокрая Орловка представлена 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23 - 24.</w:t>
      </w:r>
      <w:r/>
    </w:p>
    <w:p>
      <w:pPr>
        <w:jc w:val="right"/>
        <w:keepNext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keepNext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с. Мокрая Орловка</w:t>
      </w:r>
      <w:r/>
    </w:p>
    <w:p>
      <w:pPr>
        <w:jc w:val="center"/>
        <w:keepNext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keepNext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23</w:t>
      </w:r>
      <w:r/>
    </w:p>
    <w:p>
      <w:pPr>
        <w:jc w:val="right"/>
        <w:keepNext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5"/>
        <w:gridCol w:w="4205"/>
      </w:tblGrid>
      <w:tr>
        <w:trPr>
          <w:tblHeader/>
        </w:trPr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1,2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0,384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КВГ 0,7-115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Na-кат. двухступенчатая; 3,8 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tabs>
          <w:tab w:val="left" w:pos="1845" w:leader="none"/>
        </w:tabs>
      </w:pPr>
      <w:r/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Насосное оборудование Котельной с. Мокрая Орловка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24</w:t>
      </w:r>
      <w:r/>
    </w:p>
    <w:p>
      <w:pPr>
        <w:jc w:val="center"/>
        <w:tabs>
          <w:tab w:val="left" w:pos="1845" w:leader="none"/>
        </w:tabs>
        <w:rPr>
          <w:b/>
        </w:rPr>
      </w:pPr>
      <w:r>
        <w:rPr>
          <w:b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458"/>
        <w:gridCol w:w="1659"/>
        <w:gridCol w:w="1291"/>
        <w:gridCol w:w="725"/>
        <w:gridCol w:w="1477"/>
        <w:gridCol w:w="1713"/>
        <w:gridCol w:w="2247"/>
      </w:tblGrid>
      <w:tr>
        <w:trPr>
          <w:trHeight w:val="258"/>
        </w:trPr>
        <w:tc>
          <w:tcPr>
            <w:tcW w:w="15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75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75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45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165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124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15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75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75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5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97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1249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70"/>
        </w:trPr>
        <w:tc>
          <w:tcPr>
            <w:tcW w:w="15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Сетевой</w:t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К 45/30</w:t>
            </w:r>
            <w:r/>
          </w:p>
        </w:tc>
        <w:tc>
          <w:tcPr>
            <w:tcW w:w="450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35</w:t>
            </w:r>
            <w:r/>
          </w:p>
        </w:tc>
        <w:tc>
          <w:tcPr>
            <w:tcW w:w="97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28</w:t>
            </w:r>
            <w:r/>
          </w:p>
        </w:tc>
        <w:tc>
          <w:tcPr>
            <w:tcW w:w="124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15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Сетевой</w:t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КМ-80-65-160</w:t>
            </w:r>
            <w:r/>
          </w:p>
        </w:tc>
        <w:tc>
          <w:tcPr>
            <w:tcW w:w="450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97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32</w:t>
            </w:r>
            <w:r/>
          </w:p>
        </w:tc>
        <w:tc>
          <w:tcPr>
            <w:tcW w:w="124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15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Подпиточный</w:t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К-20-30</w:t>
            </w:r>
            <w:r/>
          </w:p>
        </w:tc>
        <w:tc>
          <w:tcPr>
            <w:tcW w:w="450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2</w:t>
            </w:r>
            <w:r/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97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124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15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4</w:t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Подпиточный</w:t>
            </w:r>
            <w:r/>
          </w:p>
        </w:tc>
        <w:tc>
          <w:tcPr>
            <w:tcW w:w="750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 xml:space="preserve">ADB</w:t>
            </w:r>
            <w:r>
              <w:rPr>
                <w:rFonts w:eastAsia="Calibri"/>
              </w:rPr>
              <w:t xml:space="preserve">-40</w:t>
            </w:r>
            <w:r/>
          </w:p>
        </w:tc>
        <w:tc>
          <w:tcPr>
            <w:tcW w:w="450" w:type="pct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67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0,6</w:t>
            </w:r>
            <w:r/>
          </w:p>
        </w:tc>
        <w:tc>
          <w:tcPr>
            <w:tcW w:w="97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1249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с. Головчино (поселок)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1,8 Гкал/час. </w:t>
      </w:r>
      <w:r>
        <w:rPr>
          <w:sz w:val="28"/>
          <w:szCs w:val="28"/>
        </w:rPr>
        <w:t xml:space="preserve">Котельная с. Головчино (поселок) предназначена для обеспечения тепловой энергией жилых и социальных потребителей, находящихся на территории с. Головчино. В котельной установлено 3 водогрейных котла типа КВГ 0,7-115 тепловой производительностью 0,6 Гкал/час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Схема присоединения потребителя к тепловым сетям – закрытая, зависимая. 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3,8 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с. Головчино (поселок) представлена 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25-26.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с. Головчино (поселок)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25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5"/>
        <w:gridCol w:w="4205"/>
      </w:tblGrid>
      <w:tr>
        <w:trPr>
          <w:tblHeader/>
        </w:trPr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1,8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0,862 Гкал/час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КВГ 0,7-115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Na-кат. двухступенчатая; 3,5 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28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251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rPr>
          <w:bCs/>
          <w:color w:val="000000"/>
        </w:rPr>
      </w:pPr>
      <w:r>
        <w:rPr>
          <w:bCs/>
          <w:color w:val="000000"/>
        </w:rPr>
      </w:r>
      <w:r/>
    </w:p>
    <w:p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Насосное оборудование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Котельной с. Головчино (поселок)</w:t>
      </w:r>
      <w:r/>
    </w:p>
    <w:p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/>
    </w:p>
    <w:p>
      <w:pPr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Таблица 26</w:t>
      </w:r>
      <w:r/>
    </w:p>
    <w:p>
      <w:pPr>
        <w:jc w:val="right"/>
        <w:rPr>
          <w:bCs/>
          <w:color w:val="000000"/>
        </w:rPr>
      </w:pPr>
      <w:r>
        <w:rPr>
          <w:bCs/>
          <w:color w:val="000000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1659"/>
        <w:gridCol w:w="1944"/>
        <w:gridCol w:w="1352"/>
        <w:gridCol w:w="1198"/>
        <w:gridCol w:w="1026"/>
        <w:gridCol w:w="1831"/>
      </w:tblGrid>
      <w:tr>
        <w:trPr>
          <w:trHeight w:val="564"/>
        </w:trPr>
        <w:tc>
          <w:tcPr>
            <w:tcW w:w="29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п/п</w:t>
            </w:r>
            <w:r/>
          </w:p>
        </w:tc>
        <w:tc>
          <w:tcPr>
            <w:tcW w:w="9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05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73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1214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79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29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9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05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73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65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56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79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283"/>
        </w:trPr>
        <w:tc>
          <w:tcPr>
            <w:tcW w:w="29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904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055" w:type="pct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КМ 100-65-160</w:t>
            </w:r>
            <w:r/>
          </w:p>
        </w:tc>
        <w:tc>
          <w:tcPr>
            <w:tcW w:w="733" w:type="pct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65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56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40</w:t>
            </w:r>
            <w:r/>
          </w:p>
        </w:tc>
        <w:tc>
          <w:tcPr>
            <w:tcW w:w="79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29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904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055" w:type="pct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КМ 80-65-160</w:t>
            </w:r>
            <w:r/>
          </w:p>
        </w:tc>
        <w:tc>
          <w:tcPr>
            <w:tcW w:w="733" w:type="pct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65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50</w:t>
            </w:r>
            <w:r/>
          </w:p>
        </w:tc>
        <w:tc>
          <w:tcPr>
            <w:tcW w:w="56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32</w:t>
            </w:r>
            <w:r/>
          </w:p>
        </w:tc>
        <w:tc>
          <w:tcPr>
            <w:tcW w:w="79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29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904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055" w:type="pct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Wilo Ipl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65/165-5,5/2</w:t>
            </w:r>
            <w:r/>
          </w:p>
        </w:tc>
        <w:tc>
          <w:tcPr>
            <w:tcW w:w="733" w:type="pct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65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60</w:t>
            </w:r>
            <w:r/>
          </w:p>
        </w:tc>
        <w:tc>
          <w:tcPr>
            <w:tcW w:w="56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22</w:t>
            </w:r>
            <w:r/>
          </w:p>
        </w:tc>
        <w:tc>
          <w:tcPr>
            <w:tcW w:w="79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29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904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055" w:type="pct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20/30</w:t>
            </w:r>
            <w:r/>
          </w:p>
        </w:tc>
        <w:tc>
          <w:tcPr>
            <w:tcW w:w="733" w:type="pct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65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56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30</w:t>
            </w:r>
            <w:r/>
          </w:p>
        </w:tc>
        <w:tc>
          <w:tcPr>
            <w:tcW w:w="79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29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904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055" w:type="pct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ADB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-40</w:t>
            </w:r>
            <w:r/>
          </w:p>
        </w:tc>
        <w:tc>
          <w:tcPr>
            <w:tcW w:w="733" w:type="pct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65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0,6</w:t>
            </w:r>
            <w:r/>
          </w:p>
        </w:tc>
        <w:tc>
          <w:tcPr>
            <w:tcW w:w="56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79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rPr>
          <w:b/>
        </w:rPr>
      </w:pPr>
      <w:r>
        <w:rPr>
          <w:b/>
        </w:rPr>
        <w:br w:type="page"/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с. Головчино (больница)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0,246 Гкал/час. Котельная с. Головчино (больница) предназначена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для обеспечения тепловой энергией жилых и социальных потребителей, находящихся на территории с. Головчино. В котельной установлено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3 водогрейных котла типа ИШМА-100 тепловой производительностью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0,082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Схема присоединения потребителя к тепловым сетям – закрытая, зависимая. 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2,0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представлена 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27-28.</w:t>
      </w:r>
      <w:r/>
    </w:p>
    <w:p>
      <w:pPr>
        <w:jc w:val="center"/>
        <w:keepNext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keepNext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№ 68</w:t>
      </w:r>
      <w:r/>
    </w:p>
    <w:p>
      <w:pPr>
        <w:jc w:val="center"/>
        <w:keepNext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keepNext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27</w:t>
      </w:r>
      <w:r/>
    </w:p>
    <w:p>
      <w:pPr>
        <w:jc w:val="right"/>
        <w:keepNext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4"/>
        <w:gridCol w:w="4206"/>
      </w:tblGrid>
      <w:tr>
        <w:trPr>
          <w:tblHeader/>
        </w:trPr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0,246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0,18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ИШМА-100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WS-0835; 1,0 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rPr>
          <w:bCs/>
          <w:color w:val="000000"/>
        </w:rPr>
      </w:pPr>
      <w:r>
        <w:rPr>
          <w:bCs/>
          <w:color w:val="000000"/>
        </w:rPr>
      </w:r>
      <w:r/>
    </w:p>
    <w:p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Насосное оборудование Котельной с. Головчино (больница)</w:t>
      </w:r>
      <w:r/>
    </w:p>
    <w:p>
      <w:pPr>
        <w:jc w:val="center"/>
      </w:pPr>
      <w:r/>
      <w:r/>
    </w:p>
    <w:p>
      <w:pPr>
        <w:jc w:val="right"/>
        <w:rPr>
          <w:bCs/>
          <w:color w:val="000000"/>
        </w:rPr>
      </w:pPr>
      <w:r>
        <w:rPr>
          <w:bCs/>
          <w:color w:val="000000"/>
        </w:rPr>
        <w:t xml:space="preserve">Таблица</w:t>
      </w:r>
      <w:r>
        <w:rPr>
          <w:bCs/>
          <w:color w:val="000000"/>
        </w:rPr>
        <w:t xml:space="preserve"> 28</w:t>
      </w:r>
      <w:r/>
    </w:p>
    <w:p>
      <w:pPr>
        <w:jc w:val="right"/>
        <w:rPr>
          <w:bCs/>
          <w:color w:val="000000"/>
        </w:rPr>
      </w:pPr>
      <w:r>
        <w:rPr>
          <w:bCs/>
          <w:color w:val="000000"/>
        </w:rPr>
      </w:r>
      <w:r/>
    </w:p>
    <w:tbl>
      <w:tblPr>
        <w:tblW w:w="944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701"/>
        <w:gridCol w:w="1559"/>
        <w:gridCol w:w="850"/>
        <w:gridCol w:w="1418"/>
        <w:gridCol w:w="1134"/>
        <w:gridCol w:w="2361"/>
      </w:tblGrid>
      <w:tr>
        <w:trPr>
          <w:trHeight w:val="223"/>
        </w:trPr>
        <w:tc>
          <w:tcPr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255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236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236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202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Сетевой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 xml:space="preserve">К</w:t>
            </w:r>
            <w:r>
              <w:rPr>
                <w:rFonts w:eastAsia="Calibri"/>
                <w:lang w:val="en-US"/>
              </w:rPr>
              <w:t xml:space="preserve">-20-30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2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20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30</w:t>
            </w:r>
            <w:r/>
          </w:p>
        </w:tc>
        <w:tc>
          <w:tcPr>
            <w:tcW w:w="236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177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Сетевой 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 xml:space="preserve">Wilo IPL 40/120-1</w:t>
            </w:r>
            <w:r>
              <w:rPr>
                <w:rFonts w:eastAsia="Calibri"/>
              </w:rPr>
              <w:t xml:space="preserve">,5/2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40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40</w:t>
            </w:r>
            <w:r/>
          </w:p>
        </w:tc>
        <w:tc>
          <w:tcPr>
            <w:tcW w:w="236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Подпиточный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К-8/18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18</w:t>
            </w:r>
            <w:r/>
          </w:p>
        </w:tc>
        <w:tc>
          <w:tcPr>
            <w:tcW w:w="236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Подпиточный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 xml:space="preserve">ADB</w:t>
            </w:r>
            <w:r>
              <w:rPr>
                <w:rFonts w:eastAsia="Calibri"/>
              </w:rPr>
              <w:t xml:space="preserve">-40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0,6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236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с. Головчино ТКУ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1,0 Гкал/час. Котельная с. Головчино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ТКУ предназначена для обеспечения тепловой энергией социальных потребителей, находящихся на территории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с. Головчино. В котельной установлено 2 водогрейных котла типа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VK-500 тепловой производительностью 0,43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Схема присоединения потребителя к тепловым сетям – закрытая, зависимая. 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4,0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с. Головчино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ТКУ представлена в таблицах 29-29.1.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с. Головчино ТКУ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29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4"/>
        <w:gridCol w:w="4206"/>
      </w:tblGrid>
      <w:tr>
        <w:trPr>
          <w:tblHeader/>
        </w:trPr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1,0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0,484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VK-500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К</w:t>
            </w:r>
            <w:r>
              <w:rPr>
                <w:lang w:val="en-US"/>
              </w:rPr>
              <w:t xml:space="preserve">WS</w:t>
            </w:r>
            <w:r>
              <w:t xml:space="preserve">-100ТА</w:t>
            </w:r>
            <w:r>
              <w:rPr>
                <w:lang w:val="en-US"/>
              </w:rPr>
              <w:t xml:space="preserve">   1,</w:t>
            </w:r>
            <w:r>
              <w:t xml:space="preserve">9</w:t>
            </w:r>
            <w:r>
              <w:rPr>
                <w:lang w:val="en-US"/>
              </w:rPr>
              <w:t xml:space="preserve"> 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tabs>
          <w:tab w:val="left" w:pos="1845" w:leader="none"/>
        </w:tabs>
      </w:pPr>
      <w:r/>
      <w:r/>
    </w:p>
    <w:p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Насосное оборудование Котельной с. Головчино ТКУ</w:t>
      </w:r>
      <w:r/>
    </w:p>
    <w:p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29.1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944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2126"/>
        <w:gridCol w:w="1417"/>
        <w:gridCol w:w="851"/>
        <w:gridCol w:w="1276"/>
        <w:gridCol w:w="1275"/>
        <w:gridCol w:w="2078"/>
      </w:tblGrid>
      <w:tr>
        <w:trPr>
          <w:trHeight w:val="223"/>
          <w:tblHeader/>
        </w:trPr>
        <w:tc>
          <w:tcPr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8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25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207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  <w:tblHeader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41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85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207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202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WILO-BL40/170</w:t>
            </w:r>
            <w:r/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35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40</w:t>
            </w:r>
            <w:r/>
          </w:p>
        </w:tc>
        <w:tc>
          <w:tcPr>
            <w:tcW w:w="207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177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ГВС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VILO-M-H-1203</w:t>
            </w:r>
            <w:r/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1.2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30</w:t>
            </w:r>
            <w:r/>
          </w:p>
        </w:tc>
        <w:tc>
          <w:tcPr>
            <w:tcW w:w="207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Циркуляционный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WILO-BL-40/160</w:t>
            </w:r>
            <w:r/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40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32</w:t>
            </w:r>
            <w:r/>
          </w:p>
        </w:tc>
        <w:tc>
          <w:tcPr>
            <w:tcW w:w="207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100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VILO-MH-1203</w:t>
            </w:r>
            <w:r/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1,2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30</w:t>
            </w:r>
            <w:r/>
          </w:p>
        </w:tc>
        <w:tc>
          <w:tcPr>
            <w:tcW w:w="207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42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5</w:t>
            </w:r>
            <w:r/>
          </w:p>
        </w:tc>
        <w:tc>
          <w:tcPr>
            <w:tcW w:w="2126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VILO-MH-1405</w:t>
            </w:r>
            <w:r/>
          </w:p>
        </w:tc>
        <w:tc>
          <w:tcPr>
            <w:tcW w:w="851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5</w:t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41</w:t>
            </w:r>
            <w:r/>
          </w:p>
        </w:tc>
        <w:tc>
          <w:tcPr>
            <w:tcW w:w="207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п. Горьковский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1,72 Гкал/час. Котельная пос. Горьковский предназначена для обеспечения тепловой энергией жилых и социальных потребителей, находящихся на территории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п. Горьковский. В котельной установлено 2 водогрейных котла типа КВа-1Г тепловой производительностью 0,86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Схема присоединения потребителя к тепловым сетям – закрытая, зависимая. 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3,4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п. Горьковский представлена 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30-31.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п. Горьковкий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30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4"/>
        <w:gridCol w:w="4206"/>
      </w:tblGrid>
      <w:tr>
        <w:trPr>
          <w:tblHeader/>
        </w:trPr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1,72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0,291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rStyle w:val="1030"/>
                <w:b w:val="0"/>
                <w:sz w:val="24"/>
                <w:szCs w:val="24"/>
              </w:rPr>
              <w:t xml:space="preserve">КВа-1Г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Na-кат. двухступенчатая; 3,8 м</w:t>
            </w:r>
            <w:r>
              <w:rPr>
                <w:vertAlign w:val="superscript"/>
              </w:rPr>
              <w:t xml:space="preserve">3</w:t>
            </w:r>
            <w:r>
              <w:t xml:space="preserve">/ч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rPr>
          <w:bCs/>
          <w:color w:val="000000"/>
        </w:rPr>
      </w:pPr>
      <w:r>
        <w:rPr>
          <w:bCs/>
          <w:color w:val="000000"/>
        </w:rPr>
        <w:br w:type="page"/>
      </w:r>
      <w:r/>
    </w:p>
    <w:p>
      <w:pPr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Насосное оборудование п. Горьковский</w:t>
      </w:r>
      <w:r/>
    </w:p>
    <w:p>
      <w:pPr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Таблица 31</w:t>
      </w:r>
      <w:r/>
    </w:p>
    <w:tbl>
      <w:tblPr>
        <w:tblW w:w="944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1708"/>
        <w:gridCol w:w="1418"/>
        <w:gridCol w:w="850"/>
        <w:gridCol w:w="1276"/>
        <w:gridCol w:w="1134"/>
        <w:gridCol w:w="2503"/>
      </w:tblGrid>
      <w:tr>
        <w:trPr>
          <w:trHeight w:val="279"/>
        </w:trPr>
        <w:tc>
          <w:tcPr>
            <w:tcW w:w="56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17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85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241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250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70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41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 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250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1708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К-80-60-200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45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45</w:t>
            </w:r>
            <w:r/>
          </w:p>
        </w:tc>
        <w:tc>
          <w:tcPr>
            <w:tcW w:w="250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1708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ВК-26-А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35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28</w:t>
            </w:r>
            <w:r/>
          </w:p>
        </w:tc>
        <w:tc>
          <w:tcPr>
            <w:tcW w:w="250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1708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ADB-40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0,6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250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keepNext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keepNext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с. Дорогощь (детский сад)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0,086 Гкал/час. Котельная с. Дорогощь (детский сад) предназначена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для обеспечения тепловой энергией жилых и социальных потребителей, находящихся на территории с. Дорогощь. В котельной установлено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2 водогрейных котла типа БЭМ-0,05 тепловой производительностью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0,043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Схема присоединения потребителя к тепловым сетям – закрытая, зависимая. 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0,5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с. Дорогощь (детский сад) представлена 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32-33.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</w:t>
      </w:r>
      <w:r/>
    </w:p>
    <w:p>
      <w:pPr>
        <w:jc w:val="center"/>
        <w:tabs>
          <w:tab w:val="left" w:pos="1845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с. Дорогощь (детский сад)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32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617"/>
        <w:gridCol w:w="4770"/>
        <w:gridCol w:w="4183"/>
      </w:tblGrid>
      <w:tr>
        <w:trPr>
          <w:tblHeader/>
        </w:trPr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п/п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Наименование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Характеристика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Установленная мощность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0,086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Отопление 0,031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Источники теплоснабжения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  <w:sz w:val="28"/>
                <w:szCs w:val="28"/>
              </w:rPr>
            </w:pPr>
            <w:r>
              <w:rPr>
                <w:rStyle w:val="1030"/>
                <w:b w:val="0"/>
                <w:sz w:val="28"/>
                <w:szCs w:val="28"/>
              </w:rPr>
              <w:t xml:space="preserve">БЭМ-0,05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Тепловая схема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Одноконтурная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Температурный график сети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95/70 ºС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Топливо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Резервное – отсутствует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Источник водоснабжения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Городской водопровод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Тип ХВО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Тип деаэратора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Теплообменное оборудование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Отсутствует</w:t>
            </w:r>
            <w:r/>
          </w:p>
        </w:tc>
      </w:tr>
    </w:tbl>
    <w:p>
      <w:pPr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Насосное оборудование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Котельной с. Дорогощь (детский сад)</w:t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Таблица 33</w:t>
      </w:r>
      <w:r/>
    </w:p>
    <w:p>
      <w:pPr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  <w:r/>
    </w:p>
    <w:tbl>
      <w:tblPr>
        <w:tblW w:w="944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1992"/>
        <w:gridCol w:w="1708"/>
        <w:gridCol w:w="1386"/>
        <w:gridCol w:w="1158"/>
        <w:gridCol w:w="993"/>
        <w:gridCol w:w="1652"/>
      </w:tblGrid>
      <w:tr>
        <w:trPr>
          <w:trHeight w:val="564"/>
        </w:trPr>
        <w:tc>
          <w:tcPr>
            <w:tcW w:w="56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п/п</w:t>
            </w:r>
            <w:r/>
          </w:p>
        </w:tc>
        <w:tc>
          <w:tcPr>
            <w:tcW w:w="199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7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138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21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165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</w:t>
            </w:r>
            <w:r>
              <w:rPr>
                <w:b/>
              </w:rPr>
              <w:t xml:space="preserve">-</w:t>
            </w:r>
            <w:r>
              <w:rPr>
                <w:b/>
              </w:rPr>
              <w:t xml:space="preserve">мого привода</w:t>
            </w:r>
            <w:r/>
          </w:p>
        </w:tc>
      </w:tr>
      <w:tr>
        <w:trPr>
          <w:trHeight w:val="152"/>
        </w:trPr>
        <w:tc>
          <w:tcPr>
            <w:tcW w:w="56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99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70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38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15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165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283"/>
        </w:trPr>
        <w:tc>
          <w:tcPr>
            <w:tcW w:w="56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1992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708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RV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50-32-125</w:t>
            </w:r>
            <w:r/>
          </w:p>
        </w:tc>
        <w:tc>
          <w:tcPr>
            <w:tcW w:w="1386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</w:t>
            </w:r>
            <w:r/>
          </w:p>
        </w:tc>
        <w:tc>
          <w:tcPr>
            <w:tcW w:w="115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12,5</w:t>
            </w:r>
            <w:r/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20</w:t>
            </w:r>
            <w:r/>
          </w:p>
        </w:tc>
        <w:tc>
          <w:tcPr>
            <w:tcW w:w="165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с. Дорогощь (школа)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0,219 Гкал/час. Котельная с. Дорогощь (школа) предназначена для обеспечения тепловой энергией жилых и социальных потребителей, находящихся на Дорогощанской сельской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территории. </w:t>
      </w:r>
      <w:r>
        <w:rPr>
          <w:sz w:val="28"/>
          <w:szCs w:val="28"/>
        </w:rPr>
        <w:br/>
        <w:t xml:space="preserve">В котельной установлен1 водогрейный котел типа </w:t>
      </w:r>
      <w:r>
        <w:rPr>
          <w:sz w:val="28"/>
          <w:szCs w:val="28"/>
          <w:lang w:val="en-US"/>
        </w:rPr>
        <w:t xml:space="preserve">RSP</w:t>
      </w:r>
      <w:r>
        <w:rPr>
          <w:sz w:val="28"/>
          <w:szCs w:val="28"/>
        </w:rPr>
        <w:t xml:space="preserve">150 тепловой производительностью 0,116 Гкал/часи 1 водогрейный котел </w:t>
      </w:r>
      <w:r>
        <w:rPr>
          <w:sz w:val="28"/>
          <w:szCs w:val="28"/>
        </w:rPr>
        <w:br/>
      </w:r>
      <w:r>
        <w:rPr>
          <w:sz w:val="28"/>
          <w:szCs w:val="28"/>
          <w:lang w:val="en-US"/>
        </w:rPr>
        <w:t xml:space="preserve">RSA</w:t>
      </w:r>
      <w:r>
        <w:rPr>
          <w:sz w:val="28"/>
          <w:szCs w:val="28"/>
        </w:rPr>
        <w:t xml:space="preserve">120 тепловой производительностью 0,103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Схема присоединения потребителя к тепловым сетям – закрытая, зависимая.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ГВС –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-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1,2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с. Дорогощь (школа) представлена 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34-35.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с. Дорогощь (школа)</w:t>
      </w:r>
      <w:r/>
    </w:p>
    <w:p>
      <w:pPr>
        <w:jc w:val="center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34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40"/>
        <w:gridCol w:w="4815"/>
        <w:gridCol w:w="4215"/>
      </w:tblGrid>
      <w:tr>
        <w:trPr>
          <w:tblHeader/>
        </w:trPr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0,219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0,19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lang w:val="en-US"/>
              </w:rPr>
            </w:pPr>
            <w:r>
              <w:rPr>
                <w:lang w:val="en-US"/>
              </w:rPr>
              <w:t xml:space="preserve">RSP150, RSA120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10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</w:tbl>
    <w:p>
      <w:pPr>
        <w:jc w:val="right"/>
        <w:rPr>
          <w:bCs/>
          <w:color w:val="000000"/>
        </w:rPr>
      </w:pPr>
      <w:r>
        <w:rPr>
          <w:bCs/>
          <w:color w:val="000000"/>
        </w:rPr>
      </w:r>
      <w:r/>
    </w:p>
    <w:p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Насосное оборудование Котельной с. Дорогощь (школа)</w:t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Таблица 35</w:t>
      </w:r>
      <w:r/>
    </w:p>
    <w:p>
      <w:pPr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  <w:r/>
    </w:p>
    <w:tbl>
      <w:tblPr>
        <w:tblW w:w="944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276"/>
        <w:gridCol w:w="1559"/>
        <w:gridCol w:w="1134"/>
        <w:gridCol w:w="1418"/>
        <w:gridCol w:w="992"/>
        <w:gridCol w:w="2503"/>
      </w:tblGrid>
      <w:tr>
        <w:trPr>
          <w:trHeight w:val="161"/>
        </w:trPr>
        <w:tc>
          <w:tcPr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241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250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56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250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283"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Сетевой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 xml:space="preserve">GPD</w:t>
            </w:r>
            <w:r>
              <w:rPr>
                <w:rFonts w:eastAsia="Calibri"/>
              </w:rPr>
              <w:t xml:space="preserve"> 32-6-180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6,3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3,5</w:t>
            </w:r>
            <w:r/>
          </w:p>
        </w:tc>
        <w:tc>
          <w:tcPr>
            <w:tcW w:w="250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283"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ind w:left="6"/>
              <w:jc w:val="center"/>
              <w:widowControl w:val="off"/>
            </w:pPr>
            <w:r>
              <w:t xml:space="preserve">Сетевой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Wilo Ipl40/90-0.37/2</w:t>
            </w:r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4"/>
              <w:jc w:val="center"/>
              <w:spacing w:line="220" w:lineRule="exact"/>
              <w:widowControl w:val="off"/>
              <w:rPr>
                <w:rFonts w:eastAsia="Calibri"/>
              </w:rPr>
            </w:pPr>
            <w:r>
              <w:rPr>
                <w:rFonts w:eastAsia="Calibri"/>
              </w:rPr>
              <w:t xml:space="preserve">1</w:t>
            </w:r>
            <w:r/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6,3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3,5</w:t>
            </w:r>
            <w:r/>
          </w:p>
        </w:tc>
        <w:tc>
          <w:tcPr>
            <w:tcW w:w="2503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с. Доброе (школа)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0,516 Гкал/час. Котельная с. Доброе предназначена для обеспечения тепловой энергией жилых и социальных потребителей, находящихся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территории с. Доброе. В котельной установлено 2 водогрейных котла типа BUDERUS тепловой производительностью 0,26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Схема присоединения потребителя к тепловым сетям – закрытая, зависимая. Система ГВС закрытая.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2,8 кгс/см2.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с. Доброе (школа) представлена 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36-37.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с. Доброе (школа)</w:t>
      </w:r>
      <w:r/>
    </w:p>
    <w:p>
      <w:pPr>
        <w:jc w:val="center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36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60"/>
        <w:gridCol w:w="4804"/>
        <w:gridCol w:w="4206"/>
      </w:tblGrid>
      <w:tr>
        <w:trPr>
          <w:tblHeader/>
        </w:trPr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0,516 Гкал/час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0,33 Гкал/час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ГВС 0,17 Гкал/ч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BUDERUS 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highlight w:val="yellow"/>
              </w:rPr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TS-91-08М;0,27 м3/ч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48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421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Имеется</w:t>
            </w:r>
            <w:r/>
          </w:p>
        </w:tc>
      </w:tr>
    </w:tbl>
    <w:p>
      <w:pPr>
        <w:jc w:val="right"/>
        <w:rPr>
          <w:bCs/>
          <w:color w:val="000000"/>
        </w:rPr>
      </w:pPr>
      <w:r>
        <w:rPr>
          <w:bCs/>
          <w:color w:val="000000"/>
        </w:rPr>
      </w:r>
      <w:r/>
    </w:p>
    <w:p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Насосное оборудование Котельной с. Доброе (школа)</w:t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Таблица 37</w:t>
      </w:r>
      <w:r/>
    </w:p>
    <w:p>
      <w:pPr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  <w:r/>
    </w:p>
    <w:tbl>
      <w:tblPr>
        <w:tblW w:w="944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127"/>
        <w:gridCol w:w="1559"/>
        <w:gridCol w:w="992"/>
        <w:gridCol w:w="1276"/>
        <w:gridCol w:w="992"/>
        <w:gridCol w:w="1936"/>
      </w:tblGrid>
      <w:tr>
        <w:trPr>
          <w:trHeight w:val="149"/>
        </w:trPr>
        <w:tc>
          <w:tcPr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21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193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56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212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 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193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142"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2127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 xml:space="preserve">C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етевой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IPL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65/155-5,5/2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24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26</w:t>
            </w:r>
            <w:r/>
          </w:p>
        </w:tc>
        <w:tc>
          <w:tcPr>
            <w:tcW w:w="193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2127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ГВС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CP 40/2300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2,81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21</w:t>
            </w:r>
            <w:r/>
          </w:p>
        </w:tc>
        <w:tc>
          <w:tcPr>
            <w:tcW w:w="193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2127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Циркуляционный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50/180 M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193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2127" w:type="dxa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Подпиточный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KPS 30/16 T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0,27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31</w:t>
            </w:r>
            <w:r/>
          </w:p>
        </w:tc>
        <w:tc>
          <w:tcPr>
            <w:tcW w:w="1936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both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Котельная с. Замостье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Установленная тепловая мощность котельной составляет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0,151 Гкал/час. Котельная с. Замостье предназначена для обеспечения тепловой энергией жилых и социальных потребителей, находящихся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территории с. Замостье. В котельной установлено 2 водогрейных котла типа ИШМА-100У и Лемакс-80 тепловой производительностью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0,151 Гкал/час.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Топливо – природный газ. Резервного топлива нет.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Регулирование отпуска теплоты – качественное по нагрузке отопления. Температурный график отпуска теплоты с котельной 95/70 ºС.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Схема присоединения потребителя к тепловым сетям – закрытая, зависимая. Система ГВС отсутствует.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давления сетевой воды в подающем трубопроводе -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2,8 кгс/см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Структура основного оборудования Котельной с. Замостье представлена в таблицах 38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39.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основного оборудования Котельной с. Замостье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38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31"/>
        <w:gridCol w:w="29"/>
        <w:gridCol w:w="4799"/>
        <w:gridCol w:w="4211"/>
      </w:tblGrid>
      <w:tr>
        <w:trPr>
          <w:tblHeader/>
        </w:trPr>
        <w:tc>
          <w:tcPr>
            <w:gridSpan w:val="2"/>
            <w:tcW w:w="28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 п/п</w:t>
            </w:r>
            <w:r/>
          </w:p>
        </w:tc>
        <w:tc>
          <w:tcPr>
            <w:tcW w:w="25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Наименование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Характеристика</w:t>
            </w:r>
            <w:r/>
          </w:p>
        </w:tc>
      </w:tr>
      <w:tr>
        <w:trPr/>
        <w:tc>
          <w:tcPr>
            <w:gridSpan w:val="2"/>
            <w:tcW w:w="28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25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Установленная мощность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0,151 Гкал/час</w:t>
            </w:r>
            <w:r/>
          </w:p>
        </w:tc>
      </w:tr>
      <w:tr>
        <w:trPr/>
        <w:tc>
          <w:tcPr>
            <w:gridSpan w:val="2"/>
            <w:tcW w:w="28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25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Расчетная присоединенная тепловая нагрузка потребителей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Отопление 0,08 Гкал/час</w:t>
            </w:r>
            <w:r/>
          </w:p>
        </w:tc>
      </w:tr>
      <w:tr>
        <w:trPr/>
        <w:tc>
          <w:tcPr>
            <w:gridSpan w:val="2"/>
            <w:tcW w:w="28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3</w:t>
            </w:r>
            <w:r/>
          </w:p>
        </w:tc>
        <w:tc>
          <w:tcPr>
            <w:tcW w:w="25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Источники теплоснабжения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ИШМА-100У;Лемакс-80</w:t>
            </w:r>
            <w:r/>
          </w:p>
        </w:tc>
      </w:tr>
      <w:tr>
        <w:trPr/>
        <w:tc>
          <w:tcPr>
            <w:gridSpan w:val="2"/>
            <w:tcW w:w="28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4</w:t>
            </w:r>
            <w:r/>
          </w:p>
        </w:tc>
        <w:tc>
          <w:tcPr>
            <w:tcW w:w="25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Тепловая схема котельной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Одноконтурная</w:t>
            </w:r>
            <w:r/>
          </w:p>
        </w:tc>
      </w:tr>
      <w:tr>
        <w:trPr/>
        <w:tc>
          <w:tcPr>
            <w:gridSpan w:val="2"/>
            <w:tcW w:w="28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5</w:t>
            </w:r>
            <w:r/>
          </w:p>
        </w:tc>
        <w:tc>
          <w:tcPr>
            <w:tcW w:w="25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Температурный график сети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95/70 ºС</w:t>
            </w:r>
            <w:r/>
          </w:p>
        </w:tc>
      </w:tr>
      <w:tr>
        <w:trPr/>
        <w:tc>
          <w:tcPr>
            <w:gridSpan w:val="2"/>
            <w:tcW w:w="28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6</w:t>
            </w:r>
            <w:r/>
          </w:p>
        </w:tc>
        <w:tc>
          <w:tcPr>
            <w:tcW w:w="25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Топливо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Основное – природный газ</w:t>
            </w:r>
            <w:r/>
          </w:p>
          <w:p>
            <w:pPr>
              <w:jc w:val="center"/>
              <w:tabs>
                <w:tab w:val="left" w:pos="1845" w:leader="none"/>
              </w:tabs>
            </w:pPr>
            <w:r>
              <w:t xml:space="preserve">Резервное – отсутствует</w:t>
            </w:r>
            <w:r/>
          </w:p>
        </w:tc>
      </w:tr>
      <w:tr>
        <w:trPr/>
        <w:tc>
          <w:tcPr>
            <w:gridSpan w:val="2"/>
            <w:tcW w:w="28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7</w:t>
            </w:r>
            <w:r/>
          </w:p>
        </w:tc>
        <w:tc>
          <w:tcPr>
            <w:tcW w:w="25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Источник водоснабжения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Городской водопровод</w:t>
            </w:r>
            <w:r/>
          </w:p>
        </w:tc>
      </w:tr>
      <w:tr>
        <w:trPr/>
        <w:tc>
          <w:tcPr>
            <w:gridSpan w:val="2"/>
            <w:tcW w:w="28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25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ХВО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Отсутствует</w:t>
            </w:r>
            <w:r/>
          </w:p>
        </w:tc>
      </w:tr>
      <w:tr>
        <w:trPr/>
        <w:tc>
          <w:tcPr>
            <w:gridSpan w:val="2"/>
            <w:tcW w:w="288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9</w:t>
            </w:r>
            <w:r/>
          </w:p>
        </w:tc>
        <w:tc>
          <w:tcPr>
            <w:tcW w:w="251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Тип деаэратора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/>
        <w:tc>
          <w:tcPr>
            <w:tcW w:w="27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10</w:t>
            </w:r>
            <w:r/>
          </w:p>
        </w:tc>
        <w:tc>
          <w:tcPr>
            <w:gridSpan w:val="2"/>
            <w:tcW w:w="252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Теплообменное оборудование</w:t>
            </w:r>
            <w:r/>
          </w:p>
        </w:tc>
        <w:tc>
          <w:tcPr>
            <w:tcW w:w="2202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Имеется</w:t>
            </w:r>
            <w:r/>
          </w:p>
        </w:tc>
      </w:tr>
    </w:tbl>
    <w:p>
      <w:pPr>
        <w:jc w:val="right"/>
        <w:rPr>
          <w:bCs/>
          <w:color w:val="000000"/>
        </w:rPr>
      </w:pPr>
      <w:r>
        <w:rPr>
          <w:bCs/>
          <w:color w:val="000000"/>
        </w:rPr>
      </w:r>
      <w:r/>
    </w:p>
    <w:p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Насосное оборудование Котельной с. Замостье</w:t>
      </w:r>
      <w:r/>
    </w:p>
    <w:p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  <w:r/>
    </w:p>
    <w:p>
      <w:pPr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Таблица 39</w:t>
      </w:r>
      <w:r/>
    </w:p>
    <w:p>
      <w:pPr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458"/>
        <w:gridCol w:w="1509"/>
        <w:gridCol w:w="2081"/>
        <w:gridCol w:w="790"/>
        <w:gridCol w:w="1477"/>
        <w:gridCol w:w="1077"/>
        <w:gridCol w:w="2178"/>
      </w:tblGrid>
      <w:tr>
        <w:trPr>
          <w:trHeight w:val="195"/>
        </w:trPr>
        <w:tc>
          <w:tcPr>
            <w:tcW w:w="20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№</w:t>
            </w:r>
            <w:r/>
          </w:p>
        </w:tc>
        <w:tc>
          <w:tcPr>
            <w:tcW w:w="81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Тип насоса</w:t>
            </w:r>
            <w:r/>
          </w:p>
        </w:tc>
        <w:tc>
          <w:tcPr>
            <w:tcW w:w="111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Марка</w:t>
            </w:r>
            <w:r/>
          </w:p>
        </w:tc>
        <w:tc>
          <w:tcPr>
            <w:tcW w:w="44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Кол-во, шт.</w:t>
            </w:r>
            <w:r/>
          </w:p>
        </w:tc>
        <w:tc>
          <w:tcPr>
            <w:gridSpan w:val="2"/>
            <w:tcW w:w="125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Тех. характеристика</w:t>
            </w:r>
            <w:r/>
          </w:p>
        </w:tc>
        <w:tc>
          <w:tcPr>
            <w:tcW w:w="116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Наличие частотно-регулируемого привода</w:t>
            </w:r>
            <w:r/>
          </w:p>
        </w:tc>
      </w:tr>
      <w:tr>
        <w:trPr>
          <w:trHeight w:val="152"/>
        </w:trPr>
        <w:tc>
          <w:tcPr>
            <w:tcW w:w="20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81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111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44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W w:w="66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п</w:t>
            </w:r>
            <w:r>
              <w:rPr>
                <w:b/>
              </w:rPr>
              <w:t xml:space="preserve">одача,м</w:t>
            </w:r>
            <w:r>
              <w:rPr>
                <w:b/>
                <w:vertAlign w:val="superscript"/>
              </w:rPr>
              <w:t xml:space="preserve">3</w:t>
            </w:r>
            <w:r>
              <w:rPr>
                <w:b/>
              </w:rPr>
              <w:t xml:space="preserve">/ч</w:t>
            </w:r>
            <w:r/>
          </w:p>
        </w:tc>
        <w:tc>
          <w:tcPr>
            <w:tcW w:w="59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</w:rPr>
            </w:pPr>
            <w:r>
              <w:rPr>
                <w:b/>
              </w:rPr>
              <w:t xml:space="preserve">н</w:t>
            </w:r>
            <w:r>
              <w:rPr>
                <w:b/>
              </w:rPr>
              <w:t xml:space="preserve">апор, м</w:t>
            </w:r>
            <w:r/>
          </w:p>
        </w:tc>
        <w:tc>
          <w:tcPr>
            <w:tcW w:w="116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</w:tr>
      <w:tr>
        <w:trPr>
          <w:trHeight w:val="70"/>
        </w:trPr>
        <w:tc>
          <w:tcPr>
            <w:tcW w:w="20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</w:t>
            </w:r>
            <w:r/>
          </w:p>
        </w:tc>
        <w:tc>
          <w:tcPr>
            <w:tcW w:w="816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115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GRUNDFOS UPS 32-80</w:t>
            </w:r>
            <w:r/>
          </w:p>
        </w:tc>
        <w:tc>
          <w:tcPr>
            <w:tcW w:w="440" w:type="pct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66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11</w:t>
            </w:r>
            <w:r/>
          </w:p>
        </w:tc>
        <w:tc>
          <w:tcPr>
            <w:tcW w:w="59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116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  <w:tr>
        <w:trPr>
          <w:trHeight w:val="70"/>
        </w:trPr>
        <w:tc>
          <w:tcPr>
            <w:tcW w:w="207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2</w:t>
            </w:r>
            <w:r/>
          </w:p>
        </w:tc>
        <w:tc>
          <w:tcPr>
            <w:tcW w:w="816" w:type="pct"/>
            <w:vAlign w:val="center"/>
            <w:textDirection w:val="lrTb"/>
            <w:noWrap w:val="false"/>
          </w:tcPr>
          <w:p>
            <w:pPr>
              <w:pStyle w:val="879"/>
              <w:ind w:left="6"/>
              <w:jc w:val="center"/>
              <w:spacing w:line="276" w:lineRule="auto"/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/>
              </w:rPr>
              <w:t xml:space="preserve">Сетевой</w:t>
            </w:r>
            <w:r/>
          </w:p>
        </w:tc>
        <w:tc>
          <w:tcPr>
            <w:tcW w:w="1115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LEBERG GRS32/8</w:t>
            </w:r>
            <w:r/>
          </w:p>
        </w:tc>
        <w:tc>
          <w:tcPr>
            <w:tcW w:w="440" w:type="pct"/>
            <w:vAlign w:val="center"/>
            <w:textDirection w:val="lrTb"/>
            <w:noWrap w:val="false"/>
          </w:tcPr>
          <w:p>
            <w:pPr>
              <w:pStyle w:val="879"/>
              <w:ind w:left="4"/>
              <w:jc w:val="center"/>
              <w:spacing w:line="22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</w:t>
            </w:r>
            <w:r/>
          </w:p>
        </w:tc>
        <w:tc>
          <w:tcPr>
            <w:tcW w:w="666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10,2</w:t>
            </w:r>
            <w:r/>
          </w:p>
        </w:tc>
        <w:tc>
          <w:tcPr>
            <w:tcW w:w="590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8</w:t>
            </w:r>
            <w:r/>
          </w:p>
        </w:tc>
        <w:tc>
          <w:tcPr>
            <w:tcW w:w="1165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>
              <w:t xml:space="preserve">-</w:t>
            </w:r>
            <w:r/>
          </w:p>
        </w:tc>
      </w:tr>
    </w:tbl>
    <w:p>
      <w:pPr>
        <w:ind w:firstLine="709"/>
        <w:jc w:val="both"/>
        <w:tabs>
          <w:tab w:val="left" w:pos="1845" w:leader="none"/>
        </w:tabs>
      </w:pPr>
      <w:r/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Параметры установленной мощности теплофикационного оборудования источников тепловой энергии Грайворонского городского округа представлены в таблице 40 и на рисунке 21.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/>
    </w:p>
    <w:p>
      <w:pPr>
        <w:ind w:firstLine="709"/>
        <w:jc w:val="both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установленной мощности теплофикационного оборудования Грайворонского городского округа</w:t>
      </w:r>
      <w:r/>
    </w:p>
    <w:p>
      <w:pPr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40</w:t>
      </w:r>
      <w:r/>
    </w:p>
    <w:p>
      <w:pPr>
        <w:jc w:val="right"/>
        <w:tabs>
          <w:tab w:val="left" w:pos="1845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Style w:val="832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1470"/>
        <w:gridCol w:w="2578"/>
        <w:gridCol w:w="1499"/>
        <w:gridCol w:w="1893"/>
      </w:tblGrid>
      <w:tr>
        <w:trPr>
          <w:jc w:val="center"/>
          <w:trHeight w:val="510"/>
          <w:tblHeader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источника тепловой энергии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Марка котла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Номинальная тепло</w:t>
            </w:r>
            <w:r>
              <w:rPr>
                <w:b/>
                <w:sz w:val="24"/>
                <w:szCs w:val="24"/>
              </w:rPr>
              <w:t xml:space="preserve">-</w:t>
            </w:r>
            <w:r>
              <w:rPr>
                <w:b/>
                <w:sz w:val="24"/>
                <w:szCs w:val="24"/>
              </w:rPr>
              <w:t xml:space="preserve">производительность котла, Гкал/ч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Количество котлов, шт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Установленная мощность источника, Гкал/ч</w:t>
            </w:r>
            <w:r/>
          </w:p>
        </w:tc>
      </w:tr>
      <w:tr>
        <w:trPr>
          <w:jc w:val="center"/>
          <w:trHeight w:val="361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Луначарского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КСВ-1,86Г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КВа-2,0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1,6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1,72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6,64</w:t>
            </w:r>
            <w:r/>
          </w:p>
        </w:tc>
      </w:tr>
      <w:tr>
        <w:trPr>
          <w:jc w:val="center"/>
          <w:trHeight w:val="226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Шухова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КВа-1,6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КВа-1,25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1,38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1,07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2,45</w:t>
            </w:r>
            <w:r/>
          </w:p>
        </w:tc>
      </w:tr>
      <w:tr>
        <w:trPr>
          <w:jc w:val="center"/>
          <w:trHeight w:val="70"/>
        </w:trPr>
        <w:tc>
          <w:tcPr>
            <w:tcW w:w="22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ПНИ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НР-18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0,52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/>
          </w:p>
        </w:tc>
        <w:tc>
          <w:tcPr>
            <w:tcW w:w="18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2,51</w:t>
            </w:r>
            <w:r/>
          </w:p>
        </w:tc>
      </w:tr>
      <w:tr>
        <w:trPr>
          <w:jc w:val="center"/>
          <w:trHeight w:val="136"/>
        </w:trPr>
        <w:tc>
          <w:tcPr>
            <w:tcW w:w="223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Lamborghini MegaPrex N500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0,43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/>
          </w:p>
        </w:tc>
        <w:tc>
          <w:tcPr>
            <w:tcW w:w="18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  <w:r/>
          </w:p>
        </w:tc>
      </w:tr>
      <w:tr>
        <w:trPr>
          <w:jc w:val="center"/>
          <w:trHeight w:val="284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Администрация городского округа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Хопер-100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0,086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0,344</w:t>
            </w:r>
            <w:r/>
          </w:p>
        </w:tc>
      </w:tr>
      <w:tr>
        <w:trPr>
          <w:jc w:val="center"/>
          <w:trHeight w:val="275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Замостье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ИШМА-100У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Лемакс-80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0,082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0,0687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0,151</w:t>
            </w:r>
            <w:r/>
          </w:p>
        </w:tc>
      </w:tr>
      <w:tr>
        <w:trPr>
          <w:jc w:val="center"/>
          <w:trHeight w:val="70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ОПБ ТКУ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ТТМ-400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ТТМ-800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0,34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0,69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1,03</w:t>
            </w:r>
            <w:r/>
          </w:p>
        </w:tc>
      </w:tr>
      <w:tr>
        <w:trPr>
          <w:jc w:val="center"/>
          <w:trHeight w:val="146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с. Козинка ТКУ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VK-550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0,55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1,1</w:t>
            </w:r>
            <w:r/>
          </w:p>
        </w:tc>
      </w:tr>
      <w:tr>
        <w:trPr>
          <w:jc w:val="center"/>
          <w:trHeight w:val="294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Гора-Подол (школа)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Факел-Г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0,86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2,58</w:t>
            </w:r>
            <w:r/>
          </w:p>
        </w:tc>
      </w:tr>
      <w:tr>
        <w:trPr>
          <w:jc w:val="center"/>
          <w:trHeight w:val="285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Гора-Подол (администрация)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Elektrolux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0,028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0,056</w:t>
            </w:r>
            <w:r/>
          </w:p>
        </w:tc>
      </w:tr>
      <w:tr>
        <w:trPr>
          <w:jc w:val="center"/>
          <w:trHeight w:val="224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Кирпичный завод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Хопёр-100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ИШМА-100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0,086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0,082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/>
          </w:p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0,168</w:t>
            </w:r>
            <w:r/>
          </w:p>
        </w:tc>
      </w:tr>
      <w:tr>
        <w:trPr>
          <w:jc w:val="center"/>
          <w:trHeight w:val="70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Безымено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Е-1/9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0,69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2,07</w:t>
            </w:r>
            <w:r/>
          </w:p>
        </w:tc>
      </w:tr>
      <w:tr>
        <w:trPr>
          <w:jc w:val="center"/>
          <w:trHeight w:val="94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Смородино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НР-18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0,52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1,56</w:t>
            </w:r>
            <w:r/>
          </w:p>
        </w:tc>
      </w:tr>
      <w:tr>
        <w:trPr>
          <w:jc w:val="center"/>
          <w:trHeight w:val="228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Котельной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Мокрая Орловка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КВГ-0,7-115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0,6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1,2</w:t>
            </w:r>
            <w:r/>
          </w:p>
        </w:tc>
      </w:tr>
      <w:tr>
        <w:trPr>
          <w:jc w:val="center"/>
          <w:trHeight w:val="234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Головчино (поселок)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КВГ-0,7-115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0,6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1,8</w:t>
            </w:r>
            <w:r/>
          </w:p>
        </w:tc>
      </w:tr>
      <w:tr>
        <w:trPr>
          <w:jc w:val="center"/>
          <w:trHeight w:val="239"/>
        </w:trPr>
        <w:tc>
          <w:tcPr>
            <w:tcBorders>
              <w:bottom w:val="none" w:color="000000" w:sz="4" w:space="0"/>
            </w:tcBorders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Головчино (больница)</w:t>
            </w:r>
            <w:r/>
          </w:p>
        </w:tc>
        <w:tc>
          <w:tcPr>
            <w:tcBorders>
              <w:bottom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Ишма-100</w:t>
            </w:r>
            <w:r/>
          </w:p>
        </w:tc>
        <w:tc>
          <w:tcPr>
            <w:tcBorders>
              <w:bottom w:val="none" w:color="000000" w:sz="4" w:space="0"/>
            </w:tcBorders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0,082</w:t>
            </w:r>
            <w:r/>
          </w:p>
        </w:tc>
        <w:tc>
          <w:tcPr>
            <w:tcBorders>
              <w:bottom w:val="none" w:color="000000" w:sz="4" w:space="0"/>
            </w:tcBorders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bottom w:val="non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0,246</w:t>
            </w:r>
            <w:r/>
          </w:p>
        </w:tc>
      </w:tr>
      <w:tr>
        <w:trPr>
          <w:jc w:val="center"/>
          <w:trHeight w:val="239"/>
        </w:trPr>
        <w:tc>
          <w:tcPr>
            <w:tcBorders>
              <w:top w:val="none" w:color="000000" w:sz="4" w:space="0"/>
            </w:tcBorders>
            <w:tcW w:w="2234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Borders>
              <w:top w:val="none" w:color="000000" w:sz="4" w:space="0"/>
            </w:tcBorders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Borders>
              <w:top w:val="none" w:color="000000" w:sz="4" w:space="0"/>
            </w:tcBorders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</w:pPr>
            <w:r/>
            <w:r/>
          </w:p>
        </w:tc>
        <w:tc>
          <w:tcPr>
            <w:tcBorders>
              <w:top w:val="non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</w:tr>
      <w:tr>
        <w:trPr>
          <w:jc w:val="center"/>
          <w:trHeight w:val="246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Головчино ТКУ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VK-550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0,55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1,1</w:t>
            </w:r>
            <w:r/>
          </w:p>
        </w:tc>
      </w:tr>
      <w:tr>
        <w:trPr>
          <w:jc w:val="center"/>
          <w:trHeight w:val="224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Горьковский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КВА-1Гн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0,86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1,72</w:t>
            </w:r>
            <w:r/>
          </w:p>
        </w:tc>
      </w:tr>
      <w:tr>
        <w:trPr>
          <w:jc w:val="center"/>
          <w:trHeight w:val="88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Дорогощь (детский сад)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БЭМ-0,05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0,043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0,086</w:t>
            </w:r>
            <w:r/>
          </w:p>
        </w:tc>
      </w:tr>
      <w:tr>
        <w:trPr>
          <w:jc w:val="center"/>
          <w:trHeight w:val="235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Дорогощь (школа)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 xml:space="preserve">RSP150</w:t>
            </w:r>
            <w:r/>
          </w:p>
          <w:p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 xml:space="preserve">RSA120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0,116</w:t>
            </w:r>
            <w:r/>
          </w:p>
          <w:p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0,103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0,219</w:t>
            </w:r>
            <w:r/>
          </w:p>
        </w:tc>
      </w:tr>
      <w:tr>
        <w:trPr>
          <w:jc w:val="center"/>
          <w:trHeight w:val="100"/>
        </w:trPr>
        <w:tc>
          <w:tcPr>
            <w:tcW w:w="22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Котельная </w:t>
            </w:r>
            <w:r/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Доброе (школа)</w:t>
            </w:r>
            <w:r/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BUDERUS</w:t>
            </w:r>
            <w:r/>
          </w:p>
        </w:tc>
        <w:tc>
          <w:tcPr>
            <w:tcW w:w="265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0,258</w:t>
            </w:r>
            <w:r/>
          </w:p>
        </w:tc>
        <w:tc>
          <w:tcPr>
            <w:tcW w:w="1445" w:type="dxa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1845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</w:tc>
        <w:tc>
          <w:tcPr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0,516</w:t>
            </w:r>
            <w:r/>
          </w:p>
        </w:tc>
      </w:tr>
    </w:tbl>
    <w:p>
      <w:pPr>
        <w:tabs>
          <w:tab w:val="left" w:pos="1845" w:leader="none"/>
        </w:tabs>
        <w:rPr>
          <w:b/>
        </w:rPr>
      </w:pPr>
      <w:r>
        <w:rPr>
          <w:b/>
        </w:rPr>
      </w:r>
      <w:r/>
    </w:p>
    <w:p>
      <w:pPr>
        <w:jc w:val="center"/>
        <w:tabs>
          <w:tab w:val="left" w:pos="1845" w:leader="none"/>
        </w:tabs>
        <w:rPr>
          <w:b/>
        </w:rPr>
      </w:pPr>
      <w:r>
        <w:rPr>
          <w:b/>
        </w:rPr>
        <w:drawing>
          <wp:inline distT="0" distB="0" distL="0" distR="0">
            <wp:extent cx="5724525" cy="7172325"/>
            <wp:effectExtent l="0" t="0" r="0" b="0"/>
            <wp:docPr id="23" name="Диаграмма 30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/>
    </w:p>
    <w:p>
      <w:pPr>
        <w:ind w:firstLine="709"/>
        <w:jc w:val="center"/>
        <w:tabs>
          <w:tab w:val="left" w:pos="184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21.Установленная мощность котельных Грайворонского городского округа.</w:t>
      </w:r>
      <w:r/>
    </w:p>
    <w:p>
      <w:pPr>
        <w:rPr>
          <w:rFonts w:eastAsiaTheme="majorEastAsia"/>
          <w:b/>
          <w:bCs/>
          <w:color w:val="000000"/>
          <w:lang w:eastAsia="en-US"/>
        </w:rPr>
      </w:pPr>
      <w:r/>
      <w:bookmarkStart w:id="6" w:name="_Toc533014787"/>
      <w:r>
        <w:rPr>
          <w:color w:val="000000" w:themeColor="text1"/>
        </w:rPr>
        <w:br w:type="page"/>
      </w:r>
      <w:r/>
    </w:p>
    <w:p>
      <w:pPr>
        <w:pStyle w:val="805"/>
        <w:jc w:val="center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2.1.2. Водоснабжение</w:t>
      </w:r>
      <w:bookmarkEnd w:id="6"/>
      <w:r/>
      <w:r/>
    </w:p>
    <w:p>
      <w:pPr>
        <w:rPr>
          <w:lang w:eastAsia="en-US"/>
        </w:rPr>
      </w:pPr>
      <w:r>
        <w:rPr>
          <w:lang w:eastAsia="en-US"/>
        </w:rPr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/>
      <w:bookmarkStart w:id="7" w:name="_Toc491865903"/>
      <w:r>
        <w:rPr>
          <w:sz w:val="28"/>
          <w:szCs w:val="28"/>
        </w:rPr>
        <w:t xml:space="preserve">Водоснабжение, как отрасль, играет огромную роль в обеспечении жизнедеятельности городского округа и требует целенаправленных мероприятий по развитию надежной системы хозяйственно-питьевого водоснабжения.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Грайворонский городской округ имеет площадь населенных пунктов 853,8 км². Количество н</w:t>
      </w:r>
      <w:r>
        <w:rPr>
          <w:sz w:val="28"/>
          <w:szCs w:val="28"/>
        </w:rPr>
        <w:t xml:space="preserve">аселенных пунктов – 40. Общая численность населения на 01 января 2022 года – 26 857 чел. Водоснабжение Грайворонского городского округа осуществляется от 20 основных водозаборов. Протяжённость водопроводных сетей по городскому округу составляет 161,66 км. 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Системы водоснабжения в городском округе объединены </w:t>
      </w:r>
      <w:r>
        <w:rPr>
          <w:sz w:val="28"/>
          <w:szCs w:val="28"/>
        </w:rPr>
        <w:br/>
        <w:t xml:space="preserve">для хозяйственно-питьевых и противопожарных нужд.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Служба водопроводного хозяйства включает в себя эксплуатацию </w:t>
      </w:r>
      <w:r>
        <w:rPr>
          <w:sz w:val="28"/>
          <w:szCs w:val="28"/>
        </w:rPr>
        <w:br/>
        <w:t xml:space="preserve">и обслуживание водоразборных колонок; пожарных гидрантов; артезианских скважин; водонапорных башен; сетей и водоводов.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Основным оборудованием являются погружные насосы ЭЦВ. Зоны санитарной охраны водозаборов, в целях санитарно-эпидемиологической надежности, предусмотрены в соответствии с требованиями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«СП 31.13330.2021 «СНиП 2.04.02-84* Водоснабжение.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Наружные сети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сооружения» (Приказ Минстроя России от 27</w:t>
      </w:r>
      <w:r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 xml:space="preserve">2021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№</w:t>
      </w:r>
      <w:r>
        <w:rPr>
          <w:sz w:val="28"/>
          <w:szCs w:val="28"/>
        </w:rPr>
        <w:t xml:space="preserve"> 1016/</w:t>
      </w:r>
      <w:r>
        <w:rPr>
          <w:sz w:val="28"/>
          <w:szCs w:val="28"/>
          <w:lang w:val="en-US"/>
        </w:rPr>
        <w:t xml:space="preserve">gh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hyperlink r:id="rId38" w:tooltip="http://docs.cntd.ru/document/901816579" w:history="1">
        <w:r>
          <w:rPr>
            <w:sz w:val="28"/>
            <w:szCs w:val="28"/>
          </w:rPr>
          <w:t xml:space="preserve">постановлением Главного государственного санитарного врача Российской Федерации от 14 марта 2002 года № 10 «О введении в действие Санитарных правил и норм «Зоны санитарной охраны источников водоснабжения и водопроводов питьевого назначения. </w:t>
        </w:r>
        <w:r>
          <w:rPr>
            <w:sz w:val="28"/>
            <w:szCs w:val="28"/>
          </w:rPr>
          <w:br/>
        </w:r>
        <w:r>
          <w:rPr>
            <w:sz w:val="28"/>
            <w:szCs w:val="28"/>
          </w:rPr>
          <w:t xml:space="preserve">СанПиН 2.1.4.1110-02»</w:t>
        </w:r>
      </w:hyperlink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Износ основных фондов в среднем для сетей </w:t>
      </w:r>
      <w:r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 xml:space="preserve">57,9%, </w:t>
      </w:r>
      <w:r>
        <w:rPr>
          <w:sz w:val="28"/>
          <w:szCs w:val="28"/>
        </w:rPr>
        <w:br/>
        <w:t xml:space="preserve">для оборудования - 45%, а также в связи с повышением требований </w:t>
      </w:r>
      <w:r>
        <w:rPr>
          <w:sz w:val="28"/>
          <w:szCs w:val="28"/>
        </w:rPr>
        <w:br/>
        <w:t xml:space="preserve">к водоводам и качеству хозяйственно-питьевой воды, усовершенствованием технологического оборудования необходимо провести реконструкцию систем и сооружений.</w:t>
      </w:r>
      <w:r/>
    </w:p>
    <w:p>
      <w:pPr>
        <w:ind w:firstLine="709"/>
        <w:jc w:val="both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Наружное пожаротушение предусматривается из подземных пожарных гидрантов, установленных на сетях.</w:t>
      </w:r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водоснабжения Грайворонского городского округа осуществляется по следующей схеме: вода из артезианской скважины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при помощи погружных насосов подаётся по водопроводу в водонапорную башню, а затем по распределительной сети потребителям. Сводная информация оценки технического состояния насосного оборудования представлена в таблице 39.</w:t>
      </w:r>
      <w:bookmarkEnd w:id="7"/>
      <w:r/>
      <w:r/>
    </w:p>
    <w:p>
      <w:pPr>
        <w:jc w:val="right"/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</w:sectPr>
      </w:pPr>
      <w:r/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Заключение о техническом состоянии насосного оборудования водозаборных скважин</w:t>
      </w:r>
      <w:r/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39</w:t>
      </w:r>
      <w:r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19"/>
        <w:gridCol w:w="1399"/>
        <w:gridCol w:w="991"/>
        <w:gridCol w:w="1422"/>
        <w:gridCol w:w="1428"/>
        <w:gridCol w:w="1387"/>
        <w:gridCol w:w="1387"/>
        <w:gridCol w:w="961"/>
        <w:gridCol w:w="1112"/>
        <w:gridCol w:w="529"/>
        <w:gridCol w:w="937"/>
        <w:gridCol w:w="748"/>
        <w:gridCol w:w="1366"/>
      </w:tblGrid>
      <w:tr>
        <w:trPr>
          <w:trHeight w:val="855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№ водозабора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Населенный пункт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№ скважин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Улица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Марка насоса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Год ввода </w:t>
            </w:r>
            <w:r/>
          </w:p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в эксплуата-цию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Год ввода </w:t>
            </w:r>
            <w:r/>
          </w:p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в эксплуата-цию насоса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Q, по паспорту м3/час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H сква-жины, 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P, кВт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Нали-чие ПЧ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Из-нос, 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Примечания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78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Водозабор «Южный»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Скважина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1,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Тарана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6-25-70 НРО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1957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25,00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78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Скважина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2,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Тарана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6-25-70 НРО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1957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25,00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115,00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78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Скважина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3,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Тарана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6-25-70 НРО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1983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25,00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115,00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78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Скважина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4,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Тарана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6-16-75 НРО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1983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16,00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115,00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78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Скважина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5,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6-25-70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115,00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перебури-вание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78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Скважина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6,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6-16-70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115,00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451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78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Водозабор «Северный»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Скважина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1,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Свердлова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насос отсутствует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Тампонаж, грунтовая вода</w:t>
            </w:r>
            <w:r/>
          </w:p>
        </w:tc>
      </w:tr>
      <w:tr>
        <w:trPr>
          <w:trHeight w:val="543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78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Скважина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2,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Свердлова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ЭЦВ 8-25-70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25,00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Тампонаж, мел в воде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Новостроев-ка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Первомайс-кая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4-6,5-80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Замостье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Доброе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Дорогощанс-кая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тампонаж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Доброе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Новая, 18а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ЭЦВ 6-10-110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137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Центральная, 45б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Глотово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Дружбы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6-16-90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Ломное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Новоселовка, 25а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1961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135,00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тампонаж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78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Сургутская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78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Сургутская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4-6,5-135 НРО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101,00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Комсомольс-кая 5а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ЭЦВ 6-10-110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2016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10,00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Карла Маркса, 8а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ЭЦВ 6-10-80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1958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2018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76,00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Горянка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4-6,5-95 НРО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1959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Пороз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Пороз Сергеевка, 30б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4-6,5-75 НРО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Пороз Мураховка,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14-а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4-6,5-110 НРО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186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Пороз,  Подлесок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6-16-90 НРО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16,00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469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п. Совхозный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Широкая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ЭЦВ 6-6,5-120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ЗАО «Большевик» ждем бурения новой</w:t>
            </w:r>
            <w:r/>
          </w:p>
        </w:tc>
      </w:tr>
      <w:tr>
        <w:trPr>
          <w:trHeight w:val="297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п. Доброполье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Урожайная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4-6,5-140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п. Горьковский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Молодежная, 18б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6-10-80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377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п. Горьковский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Лесная, 6б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ЭЦВ 6-10-110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383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п. Чапаевский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6-10-80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ЗАО Большевик ждем бурения новой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Выгон, 62б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ЭЦВ6-10 -80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Выгон, 55а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Дуброва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4-6,5-75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5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Горная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ЭЦВ 6-16-160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ООО Агроинвест, ждем бурения новой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Дроновка 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Дроновка (скв.№1)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ЭЦВ 6-10-80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Дроновка Лесная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4-4-90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397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Ленина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4-6,5-90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Октябрьская, 130б/1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6-10-80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7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47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Гора-Подол (скв.№1)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4-6,5-60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 передана, ждем бурения новой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78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Гора-Подол, Грайворонс-кая, 24-г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6-16-75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Гора-Подол, Грайворонс-кая, 24г/1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тампонаж</w:t>
            </w:r>
            <w:r/>
          </w:p>
        </w:tc>
      </w:tr>
      <w:tr>
        <w:trPr>
          <w:trHeight w:val="450"/>
        </w:trPr>
        <w:tc>
          <w:tcPr>
            <w:shd w:val="clear" w:color="auto" w:fill="auto"/>
            <w:tcBorders>
              <w:top w:val="single" w:color="auto" w:sz="4" w:space="0"/>
              <w:bottom w:val="none" w:color="000000" w:sz="4" w:space="0"/>
            </w:tcBorders>
            <w:tcW w:w="378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6"/>
                <w:szCs w:val="6"/>
              </w:rPr>
            </w:pPr>
            <w:r>
              <w:rPr>
                <w:color w:val="000000"/>
                <w:sz w:val="6"/>
                <w:szCs w:val="6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none" w:color="000000" w:sz="4" w:space="0"/>
            </w:tcBorders>
            <w:tcW w:w="473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6"/>
                <w:szCs w:val="6"/>
              </w:rPr>
            </w:pPr>
            <w:r>
              <w:rPr>
                <w:color w:val="000000"/>
                <w:sz w:val="6"/>
                <w:szCs w:val="6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none" w:color="000000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6"/>
                <w:szCs w:val="6"/>
              </w:rPr>
            </w:pPr>
            <w:r>
              <w:rPr>
                <w:color w:val="000000"/>
                <w:sz w:val="6"/>
                <w:szCs w:val="6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</w:r>
            <w:r/>
          </w:p>
        </w:tc>
      </w:tr>
      <w:tr>
        <w:trPr>
          <w:trHeight w:val="224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Головчино, Букина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4-6,5-60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1959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Головчино, Харьковская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4-6,5-60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29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Головчино, Карла-Маркса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4-6,5-60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24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Головчино, ул. Пушкина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СПА 4-6,5-60 НРО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1980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6,50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125,00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</w:tr>
      <w:tr>
        <w:trPr>
          <w:trHeight w:val="29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73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Головчино, 50 лет победы, 1б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1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тампонаж</w:t>
            </w:r>
            <w:r/>
          </w:p>
        </w:tc>
      </w:tr>
    </w:tbl>
    <w:p>
      <w:pPr>
        <w:contextualSpacing/>
        <w:ind w:firstLine="709"/>
        <w:jc w:val="center"/>
        <w:rPr>
          <w:color w:val="000000"/>
          <w:sz w:val="28"/>
          <w:szCs w:val="28"/>
        </w:rPr>
        <w:sectPr>
          <w:footnotePr/>
          <w:endnotePr/>
          <w:type w:val="nextPage"/>
          <w:pgSz w:w="16838" w:h="11906" w:orient="landscape"/>
          <w:pgMar w:top="851" w:right="1134" w:bottom="1418" w:left="1134" w:header="709" w:footer="709" w:gutter="0"/>
          <w:cols w:num="1" w:sep="0" w:space="708" w:equalWidth="1"/>
          <w:docGrid w:linePitch="360"/>
        </w:sectPr>
      </w:pPr>
      <w:r>
        <w:rPr>
          <w:color w:val="000000"/>
          <w:sz w:val="28"/>
          <w:szCs w:val="28"/>
        </w:rPr>
      </w:r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санитарно-эпидемиологической надежности водозабора хозяйственно-питьевого назначения в соответствии с требованиями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СанПиН 2.1.4.1110-02 «Зоны санитарной охраны источников водоснабжения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водопроводов питьевого назначения», предусматриваются зоны санитарной охраны (ЗСО) источника водоснабжения и водопроводных сооружений.</w:t>
      </w:r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Качество подаваемой населению воды (на всем пути транспортирования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от водозаборного устройства до потребителя) должно подвергаться санитарному контролю. Санитарный надзор, осуществляемый санэпидстанцией, р</w:t>
      </w:r>
      <w:r>
        <w:rPr>
          <w:sz w:val="28"/>
          <w:szCs w:val="28"/>
        </w:rPr>
        <w:t xml:space="preserve">аспространяется на всю систему хозяйственно-питьевого водоснабжения. На территории, входящей в зону санитарной охраны, должен быть установлен режим, обеспечивающий надежную защиту источников водоснабжения от загрязнения и сохранение требуемых качеств воды.</w:t>
      </w:r>
      <w:r/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Грайворонского городского округа водоснабжение осуществляется из</w:t>
      </w:r>
      <w:r>
        <w:rPr>
          <w:sz w:val="28"/>
          <w:szCs w:val="28"/>
        </w:rPr>
        <w:t xml:space="preserve"> подземных источников. Подъем воды осуществляется погружными насосами марки ЭЦВ различной мощности. От водозаборных скважин на водозаборах Грайворонского городского округа вода с помощью погружного насосного агрегата подаётся в водонапорную башню и в сеть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 потребителям, подъем воды осуществляется через частотные преобразователи, станции обезжелезивания, подземные резервуары, в станцию 2-го подъема. Скважины работают в ручном режиме.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Сводная информация о насосном оборудовании представлена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таблице 40</w:t>
      </w:r>
      <w:r>
        <w:rPr>
          <w:sz w:val="28"/>
          <w:szCs w:val="28"/>
        </w:rPr>
        <w:t xml:space="preserve">.</w:t>
      </w:r>
      <w:r/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о насосном оборудовании</w:t>
      </w:r>
      <w:r/>
    </w:p>
    <w:p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40</w:t>
      </w:r>
      <w:r/>
    </w:p>
    <w:p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19"/>
        <w:gridCol w:w="4670"/>
        <w:gridCol w:w="4264"/>
      </w:tblGrid>
      <w:tr>
        <w:trPr>
          <w:trHeight w:val="575"/>
        </w:trPr>
        <w:tc>
          <w:tcPr>
            <w:shd w:val="clear" w:color="auto" w:fill="auto"/>
            <w:tcW w:w="466" w:type="pct"/>
            <w:vAlign w:val="center"/>
            <w:textDirection w:val="lrTb"/>
            <w:noWrap w:val="false"/>
          </w:tcPr>
          <w:p>
            <w:pPr>
              <w:pStyle w:val="1019"/>
              <w:ind w:left="0" w:right="0"/>
              <w:jc w:val="center"/>
              <w:keepLines/>
              <w:spacing w:after="0" w:line="240" w:lineRule="auto"/>
              <w:shd w:val="clear" w:color="auto" w:fill="auto"/>
            </w:pPr>
            <w:r/>
            <w:bookmarkStart w:id="8" w:name="_Toc499296105"/>
            <w:r>
              <w:t xml:space="preserve">№ п/п</w:t>
            </w:r>
            <w:bookmarkEnd w:id="8"/>
            <w:r/>
            <w:r/>
          </w:p>
        </w:tc>
        <w:tc>
          <w:tcPr>
            <w:shd w:val="clear" w:color="auto" w:fill="auto"/>
            <w:tcW w:w="2370" w:type="pct"/>
            <w:vAlign w:val="center"/>
            <w:textDirection w:val="lrTb"/>
            <w:noWrap w:val="false"/>
          </w:tcPr>
          <w:p>
            <w:pPr>
              <w:pStyle w:val="1019"/>
              <w:numPr>
                <w:ilvl w:val="0"/>
                <w:numId w:val="0"/>
              </w:numPr>
              <w:ind w:right="0"/>
              <w:jc w:val="center"/>
              <w:keepLines/>
              <w:spacing w:after="0" w:line="240" w:lineRule="auto"/>
              <w:shd w:val="clear" w:color="auto" w:fill="auto"/>
            </w:pPr>
            <w:r/>
            <w:bookmarkStart w:id="9" w:name="_Toc499296106"/>
            <w:r>
              <w:t xml:space="preserve">Критерий оценки, степень износа</w:t>
            </w:r>
            <w:bookmarkEnd w:id="9"/>
            <w:r/>
            <w:r/>
          </w:p>
        </w:tc>
        <w:tc>
          <w:tcPr>
            <w:shd w:val="clear" w:color="auto" w:fill="auto"/>
            <w:tcW w:w="2164" w:type="pct"/>
            <w:vAlign w:val="center"/>
            <w:textDirection w:val="lrTb"/>
            <w:noWrap w:val="false"/>
          </w:tcPr>
          <w:p>
            <w:pPr>
              <w:pStyle w:val="1019"/>
              <w:numPr>
                <w:ilvl w:val="0"/>
                <w:numId w:val="0"/>
              </w:numPr>
              <w:ind w:right="0"/>
              <w:jc w:val="center"/>
              <w:keepLines/>
              <w:spacing w:after="0" w:line="240" w:lineRule="auto"/>
              <w:shd w:val="clear" w:color="auto" w:fill="auto"/>
            </w:pPr>
            <w:r/>
            <w:bookmarkStart w:id="10" w:name="_Toc499296107"/>
            <w:r>
              <w:t xml:space="preserve">Количество оборудования</w:t>
            </w:r>
            <w:bookmarkEnd w:id="10"/>
            <w:r/>
            <w:r/>
          </w:p>
        </w:tc>
      </w:tr>
      <w:tr>
        <w:trPr>
          <w:trHeight w:val="271"/>
        </w:trPr>
        <w:tc>
          <w:tcPr>
            <w:shd w:val="clear" w:color="auto" w:fill="auto"/>
            <w:tcW w:w="46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1.</w:t>
            </w:r>
            <w:r/>
          </w:p>
        </w:tc>
        <w:tc>
          <w:tcPr>
            <w:shd w:val="clear" w:color="auto" w:fill="auto"/>
            <w:tcW w:w="2370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А (1-15%)</w:t>
            </w:r>
            <w:r/>
          </w:p>
        </w:tc>
        <w:tc>
          <w:tcPr>
            <w:shd w:val="clear" w:color="auto" w:fill="auto"/>
            <w:tcW w:w="2164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</w:t>
            </w:r>
            <w:r/>
          </w:p>
        </w:tc>
      </w:tr>
      <w:tr>
        <w:trPr/>
        <w:tc>
          <w:tcPr>
            <w:shd w:val="clear" w:color="auto" w:fill="auto"/>
            <w:tcW w:w="46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2.</w:t>
            </w:r>
            <w:r/>
          </w:p>
        </w:tc>
        <w:tc>
          <w:tcPr>
            <w:shd w:val="clear" w:color="auto" w:fill="auto"/>
            <w:tcW w:w="2370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Б (16-40%)</w:t>
            </w:r>
            <w:r/>
          </w:p>
        </w:tc>
        <w:tc>
          <w:tcPr>
            <w:shd w:val="clear" w:color="auto" w:fill="auto"/>
            <w:tcW w:w="2164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</w:t>
            </w:r>
            <w:r/>
          </w:p>
        </w:tc>
      </w:tr>
      <w:tr>
        <w:trPr>
          <w:trHeight w:val="267"/>
        </w:trPr>
        <w:tc>
          <w:tcPr>
            <w:shd w:val="clear" w:color="auto" w:fill="auto"/>
            <w:tcW w:w="46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3.</w:t>
            </w:r>
            <w:r/>
          </w:p>
        </w:tc>
        <w:tc>
          <w:tcPr>
            <w:shd w:val="clear" w:color="auto" w:fill="auto"/>
            <w:tcW w:w="2370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В (41-60%)</w:t>
            </w:r>
            <w:r/>
          </w:p>
        </w:tc>
        <w:tc>
          <w:tcPr>
            <w:shd w:val="clear" w:color="auto" w:fill="auto"/>
            <w:tcW w:w="2164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/>
          </w:p>
        </w:tc>
      </w:tr>
      <w:tr>
        <w:trPr>
          <w:trHeight w:val="248"/>
        </w:trPr>
        <w:tc>
          <w:tcPr>
            <w:shd w:val="clear" w:color="auto" w:fill="auto"/>
            <w:tcW w:w="46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4.</w:t>
            </w:r>
            <w:r/>
          </w:p>
        </w:tc>
        <w:tc>
          <w:tcPr>
            <w:shd w:val="clear" w:color="auto" w:fill="auto"/>
            <w:tcW w:w="2370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Г (61-80%)</w:t>
            </w:r>
            <w:r/>
          </w:p>
        </w:tc>
        <w:tc>
          <w:tcPr>
            <w:shd w:val="clear" w:color="auto" w:fill="auto"/>
            <w:tcW w:w="2164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</w:tr>
      <w:tr>
        <w:trPr>
          <w:trHeight w:val="346"/>
        </w:trPr>
        <w:tc>
          <w:tcPr>
            <w:shd w:val="clear" w:color="auto" w:fill="auto"/>
            <w:tcW w:w="46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5.</w:t>
            </w:r>
            <w:r/>
          </w:p>
        </w:tc>
        <w:tc>
          <w:tcPr>
            <w:shd w:val="clear" w:color="auto" w:fill="auto"/>
            <w:tcW w:w="2370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Д (81-100%)</w:t>
            </w:r>
            <w:r/>
          </w:p>
        </w:tc>
        <w:tc>
          <w:tcPr>
            <w:shd w:val="clear" w:color="auto" w:fill="auto"/>
            <w:tcW w:w="2164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</w:tr>
    </w:tbl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состояния и функционирования существующих насосных станций обезжелезивания приведены в таблице 40.1.</w:t>
      </w:r>
      <w:r/>
    </w:p>
    <w:p>
      <w:pPr>
        <w:ind w:firstLine="567"/>
        <w:jc w:val="right"/>
        <w:rPr>
          <w:sz w:val="20"/>
          <w:szCs w:val="20"/>
        </w:rPr>
        <w:sectPr>
          <w:footnotePr/>
          <w:endnotePr/>
          <w:type w:val="nextPage"/>
          <w:pgSz w:w="11906" w:h="16838" w:orient="portrait"/>
          <w:pgMar w:top="1134" w:right="851" w:bottom="1134" w:left="1418" w:header="708" w:footer="708" w:gutter="0"/>
          <w:cols w:num="1" w:sep="0" w:space="708" w:equalWidth="1"/>
          <w:docGrid w:linePitch="360"/>
        </w:sectPr>
      </w:pPr>
      <w:r>
        <w:rPr>
          <w:sz w:val="20"/>
          <w:szCs w:val="20"/>
        </w:rPr>
      </w:r>
      <w:r/>
    </w:p>
    <w:p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Заключение о техническом состоянии насосного оборудования станции обезжелезивания</w:t>
      </w:r>
      <w:r/>
    </w:p>
    <w:p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40.1</w:t>
      </w:r>
      <w:r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02"/>
        <w:gridCol w:w="2008"/>
        <w:gridCol w:w="3096"/>
        <w:gridCol w:w="2339"/>
        <w:gridCol w:w="1700"/>
        <w:gridCol w:w="1065"/>
        <w:gridCol w:w="852"/>
        <w:gridCol w:w="1487"/>
        <w:gridCol w:w="1437"/>
      </w:tblGrid>
      <w:tr>
        <w:trPr>
          <w:trHeight w:val="630"/>
          <w:tblHeader/>
        </w:trPr>
        <w:tc>
          <w:tcPr>
            <w:shd w:val="clear" w:color="auto" w:fill="auto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271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№ п/п</w:t>
            </w:r>
            <w:r/>
          </w:p>
        </w:tc>
        <w:tc>
          <w:tcPr>
            <w:shd w:val="clear" w:color="auto" w:fill="auto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Место нахождения</w:t>
            </w:r>
            <w:r/>
          </w:p>
        </w:tc>
        <w:tc>
          <w:tcPr>
            <w:shd w:val="clear" w:color="auto" w:fill="auto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Наименование оборудования</w:t>
            </w:r>
            <w:r/>
          </w:p>
        </w:tc>
        <w:tc>
          <w:tcPr>
            <w:shd w:val="clear" w:color="auto" w:fill="auto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Год ввода </w:t>
            </w:r>
            <w:r/>
          </w:p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в эксплуатацию</w:t>
            </w:r>
            <w:r/>
          </w:p>
        </w:tc>
        <w:tc>
          <w:tcPr>
            <w:shd w:val="clear" w:color="auto" w:fill="auto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Q, по паспорту м</w:t>
            </w:r>
            <w:r>
              <w:rPr>
                <w:b/>
                <w:bCs/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H, м</w:t>
            </w:r>
            <w:r/>
          </w:p>
        </w:tc>
        <w:tc>
          <w:tcPr>
            <w:shd w:val="clear" w:color="auto" w:fill="auto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P, кВт</w:t>
            </w:r>
            <w:r/>
          </w:p>
        </w:tc>
        <w:tc>
          <w:tcPr>
            <w:shd w:val="clear" w:color="auto" w:fill="auto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Наличие ПЧ</w:t>
            </w:r>
            <w:r/>
          </w:p>
        </w:tc>
        <w:tc>
          <w:tcPr>
            <w:shd w:val="clear" w:color="auto" w:fill="auto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Износ, %</w:t>
            </w:r>
            <w:r/>
          </w:p>
        </w:tc>
      </w:tr>
      <w:tr>
        <w:trPr>
          <w:trHeight w:val="300"/>
        </w:trPr>
        <w:tc>
          <w:tcPr>
            <w:gridSpan w:val="9"/>
            <w:shd w:val="clear" w:color="ffffcc" w:fill="ffffff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Станция обезжелезивания, г. Грайворон, ул. Тарана</w:t>
            </w:r>
            <w:r/>
          </w:p>
        </w:tc>
      </w:tr>
      <w:tr>
        <w:trPr>
          <w:trHeight w:val="315"/>
        </w:trPr>
        <w:tc>
          <w:tcPr>
            <w:shd w:val="clear" w:color="ffffcc" w:fill="ffffff"/>
            <w:tcBorders>
              <w:top w:val="none" w:color="000000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tcW w:w="27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Тарана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FINI CLAO OL1850-24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2019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7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ДА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</w:t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tcW w:w="271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9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МТ04-Т2С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2019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75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</w:t>
            </w:r>
            <w:r/>
          </w:p>
        </w:tc>
      </w:tr>
      <w:tr>
        <w:trPr>
          <w:trHeight w:val="300"/>
        </w:trPr>
        <w:tc>
          <w:tcPr>
            <w:gridSpan w:val="9"/>
            <w:shd w:val="clear" w:color="ffffcc" w:fill="ffffff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Станция обезжелезивания, с. Гора-Подол, ул. Грайворонская </w:t>
            </w:r>
            <w:r/>
          </w:p>
        </w:tc>
      </w:tr>
      <w:tr>
        <w:trPr>
          <w:trHeight w:val="315"/>
        </w:trPr>
        <w:tc>
          <w:tcPr>
            <w:shd w:val="clear" w:color="ffffcc" w:fill="ffffff"/>
            <w:tcBorders>
              <w:top w:val="none" w:color="000000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tcW w:w="27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Грайворонская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047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КМ 80-50-200/С (3шт)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2016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7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</w:t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tcW w:w="271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9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047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КМ 100-65-200/С (2шт)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2016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7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</w:t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tcW w:w="271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9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47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ХМ 32-20-125 (2шт)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2016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7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</w:t>
            </w:r>
            <w:r/>
          </w:p>
        </w:tc>
      </w:tr>
      <w:tr>
        <w:trPr>
          <w:trHeight w:val="300"/>
        </w:trPr>
        <w:tc>
          <w:tcPr>
            <w:gridSpan w:val="9"/>
            <w:shd w:val="clear" w:color="ffffcc" w:fill="ffffff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Станция обезжелезивания, с. Безымено, ул. Октябрьская </w:t>
            </w:r>
            <w:r/>
          </w:p>
        </w:tc>
      </w:tr>
      <w:tr>
        <w:trPr>
          <w:trHeight w:val="315"/>
        </w:trPr>
        <w:tc>
          <w:tcPr>
            <w:shd w:val="clear" w:color="ffffcc" w:fill="ffffff"/>
            <w:tcBorders>
              <w:top w:val="none" w:color="000000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tcW w:w="27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Октябрьская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047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Насос КМ65-50-160С У31 (2шт)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7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8,3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48</w:t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tcW w:w="271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9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1047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Насос КМ65-50-160С У31 (2шт)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2015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7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48</w:t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tcW w:w="271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9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47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Насос PEDROLO PUMP PQ60 (2шт)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2015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7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48</w:t>
            </w:r>
            <w:r/>
          </w:p>
        </w:tc>
      </w:tr>
      <w:tr>
        <w:trPr>
          <w:trHeight w:val="300"/>
        </w:trPr>
        <w:tc>
          <w:tcPr>
            <w:gridSpan w:val="9"/>
            <w:shd w:val="clear" w:color="ffffcc" w:fill="ffffff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Станция обезжелезивания, с. Ломное, ул. Сургутская </w:t>
            </w:r>
            <w:r/>
          </w:p>
        </w:tc>
      </w:tr>
      <w:tr>
        <w:trPr>
          <w:trHeight w:val="315"/>
        </w:trPr>
        <w:tc>
          <w:tcPr>
            <w:shd w:val="clear" w:color="ffffcc" w:fill="ffffff"/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27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Сургутская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АКВАСОВ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</w:t>
            </w:r>
            <w:r/>
          </w:p>
        </w:tc>
      </w:tr>
      <w:tr>
        <w:trPr>
          <w:trHeight w:val="300"/>
        </w:trPr>
        <w:tc>
          <w:tcPr>
            <w:gridSpan w:val="9"/>
            <w:shd w:val="clear" w:color="ffffcc" w:fill="ffffff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Станция обезжелезивания, с. Ивановская Лисица, ул. Комсомольская</w:t>
            </w:r>
            <w:r/>
          </w:p>
        </w:tc>
      </w:tr>
      <w:tr>
        <w:trPr>
          <w:trHeight w:val="315"/>
        </w:trPr>
        <w:tc>
          <w:tcPr>
            <w:shd w:val="clear" w:color="ffffcc" w:fill="ffffff"/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27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Комсомольская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FINI CLAO 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</w:t>
            </w:r>
            <w:r/>
          </w:p>
        </w:tc>
      </w:tr>
      <w:tr>
        <w:trPr>
          <w:trHeight w:val="300"/>
        </w:trPr>
        <w:tc>
          <w:tcPr>
            <w:gridSpan w:val="9"/>
            <w:shd w:val="clear" w:color="ffffcc" w:fill="ffffff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Станция обезжелезивания, с. Замостье, ул. Новая</w:t>
            </w:r>
            <w:r/>
          </w:p>
        </w:tc>
      </w:tr>
      <w:tr>
        <w:trPr>
          <w:trHeight w:val="315"/>
        </w:trPr>
        <w:tc>
          <w:tcPr>
            <w:shd w:val="clear" w:color="ffffcc" w:fill="ffffff"/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27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Новая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FINI CLAO 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</w:t>
            </w:r>
            <w:r/>
          </w:p>
        </w:tc>
      </w:tr>
      <w:tr>
        <w:trPr>
          <w:trHeight w:val="300"/>
        </w:trPr>
        <w:tc>
          <w:tcPr>
            <w:gridSpan w:val="9"/>
            <w:shd w:val="clear" w:color="ffffcc" w:fill="ffffff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Станция обезжелезивания, с. Головчино, ул. Букина</w:t>
            </w:r>
            <w:r/>
          </w:p>
        </w:tc>
      </w:tr>
      <w:tr>
        <w:trPr>
          <w:trHeight w:val="315"/>
        </w:trPr>
        <w:tc>
          <w:tcPr>
            <w:shd w:val="clear" w:color="ffffcc" w:fill="ffffff"/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27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Букина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</w:t>
            </w:r>
            <w:r/>
          </w:p>
        </w:tc>
      </w:tr>
      <w:tr>
        <w:trPr>
          <w:trHeight w:val="300"/>
        </w:trPr>
        <w:tc>
          <w:tcPr>
            <w:gridSpan w:val="9"/>
            <w:shd w:val="clear" w:color="ffffcc" w:fill="ffffff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Станция обезжелезивания, с. Козинка</w:t>
            </w:r>
            <w:r/>
          </w:p>
        </w:tc>
      </w:tr>
      <w:tr>
        <w:trPr>
          <w:trHeight w:val="315"/>
        </w:trPr>
        <w:tc>
          <w:tcPr>
            <w:shd w:val="clear" w:color="ffffcc" w:fill="ffffff"/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27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Дружбы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SAER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</w:t>
            </w:r>
            <w:r/>
          </w:p>
        </w:tc>
      </w:tr>
      <w:tr>
        <w:trPr>
          <w:trHeight w:val="300"/>
        </w:trPr>
        <w:tc>
          <w:tcPr>
            <w:gridSpan w:val="9"/>
            <w:shd w:val="clear" w:color="ffffcc" w:fill="ffffff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Станция обезжелезивания, с. Почаево</w:t>
            </w:r>
            <w:r/>
          </w:p>
        </w:tc>
      </w:tr>
      <w:tr>
        <w:trPr>
          <w:trHeight w:val="315"/>
        </w:trPr>
        <w:tc>
          <w:tcPr>
            <w:shd w:val="clear" w:color="ffffcc" w:fill="ffffff"/>
            <w:tcBorders>
              <w:top w:val="none" w:color="000000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tcW w:w="271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Ленина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Wilo IPL 50/130-2.2/2-1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2021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7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6,5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2,2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</w:t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tcW w:w="271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9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4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Wilo Helix V610-1/16/E/S/400-50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2019</w:t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75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6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</w:t>
            </w:r>
            <w:r/>
          </w:p>
        </w:tc>
      </w:tr>
    </w:tbl>
    <w:p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Технические характеристики насосной станции</w:t>
      </w:r>
      <w:r/>
    </w:p>
    <w:p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567"/>
        <w:jc w:val="right"/>
        <w:rPr>
          <w:szCs w:val="20"/>
        </w:rPr>
      </w:pPr>
      <w:r>
        <w:rPr>
          <w:szCs w:val="20"/>
        </w:rPr>
        <w:t xml:space="preserve">Таблица 40.2</w:t>
      </w:r>
      <w:r/>
    </w:p>
    <w:p>
      <w:pPr>
        <w:ind w:firstLine="567"/>
        <w:jc w:val="right"/>
        <w:rPr>
          <w:szCs w:val="20"/>
        </w:rPr>
      </w:pPr>
      <w:r>
        <w:rPr>
          <w:szCs w:val="20"/>
        </w:rPr>
      </w:r>
      <w:r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01"/>
        <w:gridCol w:w="1718"/>
        <w:gridCol w:w="1916"/>
        <w:gridCol w:w="1470"/>
        <w:gridCol w:w="1857"/>
        <w:gridCol w:w="1124"/>
        <w:gridCol w:w="861"/>
        <w:gridCol w:w="1919"/>
        <w:gridCol w:w="1686"/>
        <w:gridCol w:w="1434"/>
      </w:tblGrid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1" w:type="pct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№ п/п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1" w:type="pct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Поселение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pct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Наименование объекта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497" w:type="pct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Адрес объекта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28" w:type="pct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Наименование оборудования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80" w:type="pct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Q, по пас-порту м</w:t>
            </w:r>
            <w:r>
              <w:rPr>
                <w:b/>
                <w:bCs/>
                <w:color w:val="000000"/>
                <w:vertAlign w:val="superscript"/>
              </w:rPr>
              <w:t xml:space="preserve">3</w:t>
            </w:r>
            <w:r>
              <w:rPr>
                <w:b/>
                <w:bCs/>
                <w:color w:val="000000"/>
              </w:rPr>
              <w:t xml:space="preserve">/час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91" w:type="pct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H, м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19" w:type="pc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Износ,%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right w:val="single" w:color="auto" w:sz="4" w:space="0"/>
            </w:tcBorders>
            <w:tcW w:w="485" w:type="pct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Год ввода </w:t>
            </w:r>
            <w:r/>
          </w:p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 эксп-луатацию</w:t>
            </w:r>
            <w:r/>
          </w:p>
        </w:tc>
      </w:tr>
      <w:tr>
        <w:trPr>
          <w:trHeight w:val="79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71" w:type="pct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1" w:type="pct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48" w:type="pct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497" w:type="pct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28" w:type="pct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380" w:type="pct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91" w:type="pct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49" w:type="pc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Оборудования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0" w:type="pc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Здания</w:t>
            </w:r>
            <w:r/>
          </w:p>
        </w:tc>
        <w:tc>
          <w:tcPr>
            <w:shd w:val="clear" w:color="auto" w:fill="auto"/>
            <w:tcBorders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5" w:type="pct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71" w:type="pct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81" w:type="pct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г.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48" w:type="pct"/>
            <w:vMerge w:val="restart"/>
            <w:textDirection w:val="lrTb"/>
            <w:noWrap w:val="false"/>
          </w:tcPr>
          <w:p>
            <w:pPr>
              <w:jc w:val="center"/>
            </w:pPr>
            <w:r>
              <w:t xml:space="preserve">водозабор «Южный»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97" w:type="pct"/>
            <w:vMerge w:val="restart"/>
            <w:textDirection w:val="lrTb"/>
            <w:noWrap w:val="false"/>
          </w:tcPr>
          <w:p>
            <w:pPr>
              <w:jc w:val="center"/>
            </w:pPr>
            <w:r>
              <w:t xml:space="preserve">ул. Тарана, д. 67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8" w:type="pct"/>
            <w:textDirection w:val="lrTb"/>
            <w:noWrap w:val="false"/>
          </w:tcPr>
          <w:p>
            <w:pPr>
              <w:jc w:val="center"/>
            </w:pPr>
            <w:r>
              <w:t xml:space="preserve">насос </w:t>
            </w:r>
            <w:r/>
          </w:p>
          <w:p>
            <w:pPr>
              <w:jc w:val="center"/>
            </w:pPr>
            <w:r>
              <w:t xml:space="preserve">К100-65-200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0" w:type="pct"/>
            <w:textDirection w:val="lrTb"/>
            <w:noWrap w:val="false"/>
          </w:tcPr>
          <w:p>
            <w:pPr>
              <w:jc w:val="center"/>
            </w:pPr>
            <w: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1" w:type="pct"/>
            <w:textDirection w:val="lrTb"/>
            <w:noWrap w:val="false"/>
          </w:tcPr>
          <w:p>
            <w:pPr>
              <w:jc w:val="center"/>
            </w:pPr>
            <w: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49" w:type="pct"/>
            <w:textDirection w:val="lrTb"/>
            <w:noWrap w:val="false"/>
          </w:tcPr>
          <w:p>
            <w:pPr>
              <w:jc w:val="center"/>
            </w:pPr>
            <w:r>
              <w:t xml:space="preserve">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auto" w:sz="4" w:space="0"/>
            </w:tcBorders>
            <w:tcW w:w="570" w:type="pct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5" w:type="pct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1996</w:t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71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81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48" w:type="pct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97" w:type="pct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8" w:type="pct"/>
            <w:textDirection w:val="lrTb"/>
            <w:noWrap w:val="false"/>
          </w:tcPr>
          <w:p>
            <w:pPr>
              <w:jc w:val="center"/>
            </w:pPr>
            <w:r>
              <w:t xml:space="preserve">насос </w:t>
            </w:r>
            <w:r/>
          </w:p>
          <w:p>
            <w:pPr>
              <w:jc w:val="center"/>
            </w:pPr>
            <w:r>
              <w:t xml:space="preserve">К80-50-200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0" w:type="pct"/>
            <w:textDirection w:val="lrTb"/>
            <w:noWrap w:val="false"/>
          </w:tcPr>
          <w:p>
            <w:pPr>
              <w:jc w:val="center"/>
            </w:pPr>
            <w: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1" w:type="pct"/>
            <w:textDirection w:val="lrTb"/>
            <w:noWrap w:val="false"/>
          </w:tcPr>
          <w:p>
            <w:pPr>
              <w:jc w:val="center"/>
            </w:pPr>
            <w: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49" w:type="pct"/>
            <w:textDirection w:val="lrTb"/>
            <w:noWrap w:val="false"/>
          </w:tcPr>
          <w:p>
            <w:pPr>
              <w:jc w:val="center"/>
            </w:pPr>
            <w:r>
              <w:t xml:space="preserve">85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auto" w:sz="4" w:space="0"/>
            </w:tcBorders>
            <w:tcW w:w="570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5" w:type="pct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1996</w:t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271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81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48" w:type="pct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497" w:type="pct"/>
            <w:vMerge w:val="continue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28" w:type="pct"/>
            <w:textDirection w:val="lrTb"/>
            <w:noWrap w:val="false"/>
          </w:tcPr>
          <w:p>
            <w:pPr>
              <w:jc w:val="center"/>
            </w:pPr>
            <w:r>
              <w:t xml:space="preserve">насос </w:t>
            </w:r>
            <w:r/>
          </w:p>
          <w:p>
            <w:pPr>
              <w:jc w:val="center"/>
            </w:pPr>
            <w:r>
              <w:t xml:space="preserve">К80-50-200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0" w:type="pct"/>
            <w:textDirection w:val="lrTb"/>
            <w:noWrap w:val="false"/>
          </w:tcPr>
          <w:p>
            <w:pPr>
              <w:jc w:val="center"/>
            </w:pPr>
            <w: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91" w:type="pct"/>
            <w:textDirection w:val="lrTb"/>
            <w:noWrap w:val="false"/>
          </w:tcPr>
          <w:p>
            <w:pPr>
              <w:jc w:val="center"/>
            </w:pPr>
            <w: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49" w:type="pct"/>
            <w:textDirection w:val="lrTb"/>
            <w:noWrap w:val="false"/>
          </w:tcPr>
          <w:p>
            <w:pPr>
              <w:jc w:val="center"/>
            </w:pPr>
            <w:r>
              <w:t xml:space="preserve">85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auto" w:sz="4" w:space="0"/>
            </w:tcBorders>
            <w:tcW w:w="570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5" w:type="pct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1996</w:t>
            </w:r>
            <w:r/>
          </w:p>
        </w:tc>
      </w:tr>
    </w:tbl>
    <w:p>
      <w:pPr>
        <w:ind w:firstLine="567"/>
        <w:jc w:val="both"/>
      </w:pPr>
      <w:r/>
      <w:r/>
    </w:p>
    <w:p>
      <w:pPr>
        <w:ind w:firstLine="567"/>
        <w:jc w:val="both"/>
      </w:pPr>
      <w:r/>
      <w:r/>
    </w:p>
    <w:p>
      <w:pPr>
        <w:ind w:firstLine="567"/>
        <w:jc w:val="both"/>
      </w:pPr>
      <w:r/>
      <w:r/>
    </w:p>
    <w:p>
      <w:pPr>
        <w:ind w:firstLine="567"/>
        <w:jc w:val="both"/>
      </w:pPr>
      <w:r/>
      <w:r/>
    </w:p>
    <w:p>
      <w:pPr>
        <w:ind w:firstLine="567"/>
        <w:jc w:val="both"/>
      </w:pPr>
      <w:r/>
      <w:r/>
    </w:p>
    <w:p>
      <w:pPr>
        <w:ind w:firstLine="567"/>
        <w:jc w:val="both"/>
      </w:pPr>
      <w:r/>
      <w:r/>
    </w:p>
    <w:p>
      <w:pPr>
        <w:ind w:firstLine="567"/>
        <w:jc w:val="both"/>
      </w:pPr>
      <w:r/>
      <w:r/>
    </w:p>
    <w:p>
      <w:pPr>
        <w:ind w:firstLine="567"/>
        <w:jc w:val="both"/>
      </w:pPr>
      <w:r/>
      <w:r/>
    </w:p>
    <w:p>
      <w:pPr>
        <w:ind w:firstLine="567"/>
        <w:jc w:val="both"/>
      </w:pPr>
      <w:r/>
      <w:r/>
    </w:p>
    <w:p>
      <w:pPr>
        <w:ind w:firstLine="567"/>
        <w:jc w:val="both"/>
      </w:pPr>
      <w:r/>
      <w:r/>
    </w:p>
    <w:p>
      <w:pPr>
        <w:ind w:firstLine="567"/>
        <w:jc w:val="both"/>
      </w:pPr>
      <w:r/>
      <w:r/>
    </w:p>
    <w:p>
      <w:pPr>
        <w:ind w:firstLine="567"/>
        <w:jc w:val="both"/>
      </w:pPr>
      <w:r/>
      <w:r/>
    </w:p>
    <w:p>
      <w:pPr>
        <w:ind w:firstLine="567"/>
        <w:jc w:val="both"/>
        <w:sectPr>
          <w:footnotePr/>
          <w:endnotePr/>
          <w:type w:val="nextPage"/>
          <w:pgSz w:w="16838" w:h="11906" w:orient="landscape"/>
          <w:pgMar w:top="1418" w:right="1134" w:bottom="851" w:left="1134" w:header="709" w:footer="709" w:gutter="0"/>
          <w:cols w:num="1" w:sep="0" w:space="708" w:equalWidth="1"/>
          <w:docGrid w:linePitch="360"/>
        </w:sectPr>
      </w:pPr>
      <w:r/>
      <w:r/>
    </w:p>
    <w:p>
      <w:pPr>
        <w:ind w:firstLine="567"/>
        <w:jc w:val="both"/>
      </w:pPr>
      <w:r/>
      <w:r/>
    </w:p>
    <w:p>
      <w:pPr>
        <w:ind w:firstLine="709"/>
        <w:jc w:val="both"/>
        <w:tabs>
          <w:tab w:val="left" w:pos="251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Снабжение абонентов холодной питьевой водой надлежащего качества осуществляется через централизованную систему сетей водопровода. Характеристика сетей Грайворонского городского округа представлена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таблице 41.</w:t>
      </w:r>
      <w:r/>
    </w:p>
    <w:p>
      <w:pPr>
        <w:jc w:val="right"/>
        <w:tabs>
          <w:tab w:val="left" w:pos="2517" w:leader="none"/>
        </w:tabs>
        <w:sectPr>
          <w:footnotePr/>
          <w:endnotePr/>
          <w:type w:val="nextPage"/>
          <w:pgSz w:w="11906" w:h="16838" w:orient="portrait"/>
          <w:pgMar w:top="1134" w:right="851" w:bottom="1134" w:left="1418" w:header="708" w:footer="708" w:gutter="0"/>
          <w:cols w:num="1" w:sep="0" w:space="708" w:equalWidth="1"/>
          <w:docGrid w:linePitch="360"/>
        </w:sectPr>
      </w:pPr>
      <w:r/>
      <w:r/>
    </w:p>
    <w:p>
      <w:pPr>
        <w:jc w:val="center"/>
        <w:tabs>
          <w:tab w:val="left" w:pos="2517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Характеристика сетей водоснабжения Грайворонского городского округа</w:t>
      </w:r>
      <w:r/>
    </w:p>
    <w:p>
      <w:pPr>
        <w:jc w:val="right"/>
        <w:tabs>
          <w:tab w:val="left" w:pos="251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41</w:t>
      </w:r>
      <w:r/>
    </w:p>
    <w:tbl>
      <w:tblPr>
        <w:tblW w:w="4884" w:type="pct"/>
        <w:tblInd w:w="429" w:type="dxa"/>
        <w:tblLayout w:type="fixed"/>
        <w:tblLook w:val="04A0" w:firstRow="1" w:lastRow="0" w:firstColumn="1" w:lastColumn="0" w:noHBand="0" w:noVBand="1"/>
      </w:tblPr>
      <w:tblGrid>
        <w:gridCol w:w="1457"/>
        <w:gridCol w:w="1623"/>
        <w:gridCol w:w="1083"/>
        <w:gridCol w:w="1352"/>
        <w:gridCol w:w="1352"/>
        <w:gridCol w:w="947"/>
        <w:gridCol w:w="1083"/>
        <w:gridCol w:w="1283"/>
        <w:gridCol w:w="1167"/>
        <w:gridCol w:w="884"/>
        <w:gridCol w:w="1129"/>
        <w:gridCol w:w="1083"/>
      </w:tblGrid>
      <w:tr>
        <w:trPr>
          <w:trHeight w:val="1023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Населенный пункт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Улица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Протя-жен</w:t>
            </w:r>
            <w:r>
              <w:rPr>
                <w:b/>
                <w:color w:val="000000"/>
                <w:sz w:val="20"/>
                <w:szCs w:val="20"/>
              </w:rPr>
              <w:t xml:space="preserve">-</w:t>
            </w:r>
            <w:r>
              <w:rPr>
                <w:b/>
                <w:color w:val="000000"/>
                <w:sz w:val="20"/>
                <w:szCs w:val="20"/>
              </w:rPr>
              <w:t xml:space="preserve">ность, км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Общая протяжен-ность </w:t>
            </w:r>
            <w:r/>
          </w:p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по городскому округу км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Общая протяжен-ность </w:t>
            </w:r>
            <w:r/>
          </w:p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по району/</w:t>
            </w:r>
            <w:r/>
          </w:p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округу, км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Диа-метр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Мате</w:t>
            </w:r>
            <w:r>
              <w:rPr>
                <w:b/>
                <w:color w:val="000000"/>
                <w:sz w:val="20"/>
                <w:szCs w:val="20"/>
              </w:rPr>
              <w:t xml:space="preserve">-</w:t>
            </w:r>
            <w:r>
              <w:rPr>
                <w:b/>
                <w:color w:val="000000"/>
                <w:sz w:val="20"/>
                <w:szCs w:val="20"/>
              </w:rPr>
              <w:t xml:space="preserve">риал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Год ввода </w:t>
            </w:r>
            <w:r/>
          </w:p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в экспл.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Текущий год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Износ, %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Доля износа </w:t>
            </w:r>
            <w:r/>
          </w:p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от общ. протяж. по городс-кому округу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Средний износ сети </w:t>
            </w:r>
            <w:r/>
          </w:p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по городс-кому округу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1,030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63,760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1,070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0,780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0,535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0,272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ул.Комсомольс-кая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1,125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ул.Луначарско</w:t>
            </w: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  <w:t xml:space="preserve">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3,240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ул.Мира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5,980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ул.Пролетарс</w:t>
            </w: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1,670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ул.Спасского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1,230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ул.Кирова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1,924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ул.Кирвера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1,761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ул.Советская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1,032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ул.Кузнецова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ул.Ленина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6,451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ул.Свердлова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2,853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ул.Большевиков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1,790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чугун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ул.Народная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1,920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чугун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ул.Юбилейная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0,968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ул.Колесникова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0,897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ул.Шевченко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ул.Холода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ул.Новостроевс-кая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ул.Батуева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6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ул.Урицкого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62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2,960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ул.Таршикова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0,680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ул.Косяка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ул.Генерала Антонова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0,880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286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ул.Интернацио-нальная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ул.Жукова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0,980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пер.Солнечный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ул.Февральская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1,680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ул.Кантимиров-цев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0,600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ул.Серика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2,594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1,402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пер.Южный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ул.Победы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0,815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пер.Мурманс</w:t>
            </w: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  <w:t xml:space="preserve">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ул.Зеленая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ул.Кленовая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ул.Горького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ул.Юных партизан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ул.Республи-канская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ул.20-го партсъезда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пер.Урицкого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0,153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ул.Шухова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1,070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56,774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с.Новостроев-ка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ул.Первомайс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2,826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2,826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100,000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Замостье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ул.Дорогощанс-кая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1,680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7,624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55,000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ул.Первомайс</w:t>
            </w: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0,870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7,624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ул.50 лет Победы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7,624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ул.Гагарина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7,624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ул.Добросельс-кая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1,664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7,624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ул.Чехова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1,418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7,624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ул.Куток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0,978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7,624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ул.Новая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7,624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Козинка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ул.Строитель</w:t>
            </w: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  <w:t xml:space="preserve">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0,935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31,333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ул.Садовая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1,420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ул.Грайворонс-кая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1,350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ул.Восточная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2,782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пер.Трудовой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2,393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Ломное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Новоселовка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1,445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5,079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60,857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ул.Набережная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5,079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ул.Набережная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5,079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ул.Кирова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0,960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5,079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ул.Чапаева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5,079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Сургутская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0,680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5,079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63-110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Сургутская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0,914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5,079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Казачья-Лисица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ул.К.Маркса,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2,652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3,577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100,000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40 лет Октября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0,925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3,577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Косилово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Новая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0,682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1,641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1959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45,101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Новая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0,359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1,641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Горянка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0,600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1,641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789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Ивановская-Лисица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ул.Комсомольс-кая, ул.Садовая, ул. Ленина,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4,052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8,152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54,926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ул.Комсомольс-кая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2,380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8,152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ул.Октябрьская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1,720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8,152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Пороз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ул.Сергиевка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0,794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5,355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46,000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Мураховка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5,355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ул.Подлесок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5,355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ул.Погореловка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1,021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5,355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ул.Горка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1,754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5,355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ул.Загородинка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0,790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5,355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п. Совхозный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ул.Широкая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1,846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64,000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ул.Зеленая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1,436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1,846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п. Доброполье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ул.</w:t>
            </w:r>
            <w:r>
              <w:rPr>
                <w:color w:val="000000"/>
                <w:sz w:val="20"/>
                <w:szCs w:val="20"/>
              </w:rPr>
              <w:t xml:space="preserve">Урожайная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6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п. Горьковский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ул.Лесная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3,169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чугун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35,20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ул.Лесная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3,169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ул.Крячко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1,238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3,169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ул.Молодежная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3,169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ул.Железнодо-рожная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0,730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3,169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п. Чапаевский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1,265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2,593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20,40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ул.Совхозная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2,593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ул.Дружбы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2,593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ул.Цветочная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2,593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ул.Садовая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2,593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Смородино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ул.Выгон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1,200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82,333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ул.Губаревка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1,200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ул.Рыбная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ул.Рыбная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0,650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ул.Сергеевка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ул.Подлесная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1,200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ул.Хлебная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ул.Дуброва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ул.Горная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1,524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</w:t>
            </w:r>
            <w:r>
              <w:rPr>
                <w:sz w:val="20"/>
                <w:szCs w:val="20"/>
              </w:rPr>
              <w:t xml:space="preserve">Лантуховка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1,460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</w:t>
            </w:r>
            <w:r>
              <w:rPr>
                <w:sz w:val="20"/>
                <w:szCs w:val="20"/>
              </w:rPr>
              <w:t xml:space="preserve">л.Борисовка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</w:t>
            </w:r>
            <w:r>
              <w:rPr>
                <w:sz w:val="20"/>
                <w:szCs w:val="20"/>
              </w:rPr>
              <w:t xml:space="preserve">л. Молодежная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0,850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Дроновка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ул.Сумская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1,780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4,298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100,000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ул.Советская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0,918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4,298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ул.Лесная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4,298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чугун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ул.Колхозная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0,600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4,298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чугун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</w:t>
            </w:r>
            <w:r>
              <w:rPr>
                <w:sz w:val="20"/>
                <w:szCs w:val="20"/>
              </w:rPr>
              <w:t xml:space="preserve">Луговая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0,600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4,298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Почаево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ул.Молодежная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0,600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2,237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58,000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Трудовая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1,637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2,237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Безымено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ул.Октябрьская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7,624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7,624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70,00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Гора-Подол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ул.Республи-канская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0,860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80,43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ул.Борисенко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1,739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ул.Колхозная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ул.Первомайс</w:t>
            </w: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Вет. труда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0,736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пер.Трудовой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0,545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ул.Садовая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0,661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пер.Речной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пер.Кольцевой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ул.Советская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1,530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ул.Советская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ул.Грайворонс-кая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1,540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ул.Гаи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0,702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Парковая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Крайняя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65 лет Победы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 Сумской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 Строительный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Песочная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0,249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 Сосновый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 Кольцевой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Проселочная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Библиотечная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 Речной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Ген. Алексеенко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Ген. Алексеенко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Заводская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Кирпичный завод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40 лет Победы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0,726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ул.Набережная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1,370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16,562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8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ул.К.Маркса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1,166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чугун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71,89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ул.Пушкина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ул.М.А.Букина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0,720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ул.Грайворонс-кая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0,950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92,00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ул.Харьковская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чугун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ул.Фрунзе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ул.7 августа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0,825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ул.Бр.Головко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ул.Парковая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1,229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Школьная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0,565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Школьная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0,075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а/ц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Коммунисти</w:t>
            </w: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  <w:t xml:space="preserve">ческая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чугун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1957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Коммунисти</w:t>
            </w: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  <w:t xml:space="preserve">ческая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0,080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50лет Октября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чугун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1957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Депутатская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п/этилен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0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62" w:type="pct"/>
            <w:vAlign w:val="center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8 Марта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0,310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10,639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68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161,660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8" w:type="pct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чугун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44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1957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0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91" w:type="pct"/>
            <w:vAlign w:val="bottom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</w:tbl>
    <w:p>
      <w:pPr>
        <w:contextualSpacing/>
        <w:ind w:firstLine="709"/>
        <w:rPr>
          <w:b/>
          <w:color w:val="000000"/>
          <w:sz w:val="28"/>
          <w:szCs w:val="28"/>
        </w:rPr>
        <w:sectPr>
          <w:footnotePr/>
          <w:endnotePr/>
          <w:type w:val="nextPage"/>
          <w:pgSz w:w="16838" w:h="11906" w:orient="landscape"/>
          <w:pgMar w:top="851" w:right="1134" w:bottom="1418" w:left="1134" w:header="709" w:footer="709" w:gutter="0"/>
          <w:cols w:num="1" w:sep="0" w:space="708" w:equalWidth="1"/>
          <w:docGrid w:linePitch="360"/>
        </w:sectPr>
      </w:pPr>
      <w:r>
        <w:rPr>
          <w:b/>
          <w:color w:val="000000"/>
          <w:sz w:val="28"/>
          <w:szCs w:val="28"/>
        </w:rPr>
      </w:r>
      <w:r/>
    </w:p>
    <w:p>
      <w:pPr>
        <w:pStyle w:val="805"/>
        <w:jc w:val="center"/>
        <w:spacing w:before="0"/>
        <w:rPr>
          <w:rFonts w:ascii="Times New Roman" w:hAnsi="Times New Roman" w:cs="Times New Roman"/>
          <w:sz w:val="28"/>
          <w:szCs w:val="28"/>
        </w:rPr>
      </w:pPr>
      <w:r/>
      <w:bookmarkStart w:id="11" w:name="_Toc533014789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2.1.3. Водоотведение</w:t>
      </w:r>
      <w:bookmarkEnd w:id="11"/>
      <w:r/>
      <w:r/>
    </w:p>
    <w:p>
      <w:pPr>
        <w:ind w:firstLine="709"/>
        <w:jc w:val="both"/>
        <w:tabs>
          <w:tab w:val="left" w:pos="251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Грайворонском городском округе имеется три нитки канализирования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централизованной системой хозяйственно-бытовой канализации. Система водоотведения работает следующим образом: сточные воды от абонентов,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по самотечной сети поступают в приемную камеру КНС, после чего стоки насосным оборудованием КНС по напорным сетям канализации перекачиваются на очистные сооружения канализации для очистки.</w:t>
      </w:r>
      <w:r/>
    </w:p>
    <w:p>
      <w:pPr>
        <w:ind w:firstLine="709"/>
        <w:jc w:val="both"/>
        <w:tabs>
          <w:tab w:val="left" w:pos="251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Канализационная сеть имеет протяжённость 19,93 км, выполнена </w:t>
      </w:r>
      <w:r>
        <w:rPr>
          <w:sz w:val="28"/>
          <w:szCs w:val="28"/>
        </w:rPr>
        <w:br/>
        <w:t xml:space="preserve">из асбестоцемента и чугуна. Канализационными сетями охвачена территория средн</w:t>
      </w:r>
      <w:r>
        <w:rPr>
          <w:sz w:val="28"/>
          <w:szCs w:val="28"/>
        </w:rPr>
        <w:t xml:space="preserve">ей и малоэтажной жилой застройки. Сеть водоотведения является самотечно-напорной и предназначена для транспортирования хозяйственно-бытовых сточных вод. Информация о существующих канализационных сетях Грайворонского городского округа указана в таблице 42. </w:t>
      </w:r>
      <w:r/>
    </w:p>
    <w:p>
      <w:pPr>
        <w:ind w:firstLine="709"/>
        <w:jc w:val="both"/>
        <w:tabs>
          <w:tab w:val="left" w:pos="2517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tabs>
          <w:tab w:val="left" w:pos="2517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существующих канализационных сетях</w:t>
      </w:r>
      <w:r/>
    </w:p>
    <w:p>
      <w:pPr>
        <w:jc w:val="center"/>
        <w:tabs>
          <w:tab w:val="left" w:pos="2517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tabs>
          <w:tab w:val="left" w:pos="2517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Таблица 42</w:t>
      </w:r>
      <w:r/>
    </w:p>
    <w:p>
      <w:pPr>
        <w:jc w:val="right"/>
        <w:tabs>
          <w:tab w:val="left" w:pos="2517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1332"/>
        <w:gridCol w:w="2028"/>
        <w:gridCol w:w="1549"/>
        <w:gridCol w:w="1387"/>
        <w:gridCol w:w="1040"/>
        <w:gridCol w:w="800"/>
        <w:gridCol w:w="970"/>
        <w:gridCol w:w="747"/>
      </w:tblGrid>
      <w:tr>
        <w:trPr>
          <w:trHeight w:val="428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Населенный пункт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Улица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Протяженность, км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Диаметр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Материал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Год ввода в экспл.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Текущий год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Износ, %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самотечная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ул.Антонова, 1б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68,00</w:t>
            </w:r>
            <w:r/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ул.Ленина, 55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0,026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а/ц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68,00</w:t>
            </w:r>
            <w:r/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Мира, 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0,022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74,00</w:t>
            </w:r>
            <w:r/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Свердлова, 4а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а/ц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68,00</w:t>
            </w:r>
            <w:r/>
          </w:p>
        </w:tc>
      </w:tr>
      <w:tr>
        <w:trPr>
          <w:trHeight w:val="451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Мира от границы участка ЦРБ до КНС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0,254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а/ц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1995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54,00</w:t>
            </w:r>
            <w:r/>
          </w:p>
        </w:tc>
      </w:tr>
      <w:tr>
        <w:trPr>
          <w:trHeight w:val="417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Мира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 ул.Жукова, 2 (ПФР, рынок, РУС, магазин «Восторг») до КНС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0,721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керам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74,00</w:t>
            </w:r>
            <w:r/>
          </w:p>
        </w:tc>
      </w:tr>
      <w:tr>
        <w:trPr>
          <w:trHeight w:val="6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Советская от ПФР </w:t>
            </w:r>
            <w:r>
              <w:rPr>
                <w:color w:val="000000"/>
                <w:sz w:val="18"/>
                <w:szCs w:val="18"/>
              </w:rPr>
              <w:br/>
              <w:t xml:space="preserve">до ул.Мира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74,00</w:t>
            </w:r>
            <w:r/>
          </w:p>
        </w:tc>
      </w:tr>
      <w:tr>
        <w:trPr>
          <w:trHeight w:val="449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Советская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 кинотеатра «Космос» до ул.Мира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34,00</w:t>
            </w:r>
            <w:r/>
          </w:p>
        </w:tc>
      </w:tr>
      <w:tr>
        <w:trPr>
          <w:trHeight w:val="6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Мира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 ул.Мира, 44а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 ул.Мира, 42а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74,00</w:t>
            </w:r>
            <w:r/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 ул.Мира, 24 до КНС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0,345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74,00</w:t>
            </w:r>
            <w:r/>
          </w:p>
        </w:tc>
      </w:tr>
      <w:tr>
        <w:trPr>
          <w:trHeight w:val="341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 ул.Мира, 26а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 ул.Мира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0,146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74,00</w:t>
            </w:r>
            <w:r/>
          </w:p>
        </w:tc>
      </w:tr>
      <w:tr>
        <w:trPr>
          <w:trHeight w:val="276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Мира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 ул.Мира, 42а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 КНС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0,438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74,00</w:t>
            </w:r>
            <w:r/>
          </w:p>
        </w:tc>
      </w:tr>
      <w:tr>
        <w:trPr>
          <w:trHeight w:val="407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Интернациональная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 ЦЗН до ул.Мира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0,059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74,00</w:t>
            </w:r>
            <w:r/>
          </w:p>
        </w:tc>
      </w:tr>
      <w:tr>
        <w:trPr>
          <w:trHeight w:val="413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Ленина от ДК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 КНС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0,323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2002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40,00</w:t>
            </w:r>
            <w:r/>
          </w:p>
        </w:tc>
      </w:tr>
      <w:tr>
        <w:trPr>
          <w:trHeight w:val="278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Кирова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 ул.Кирвера, 49 (Кирова, 32а, 32, 34, 36, 38) до КНС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0,663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150 -250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68,00</w:t>
            </w:r>
            <w:r/>
          </w:p>
        </w:tc>
      </w:tr>
      <w:tr>
        <w:trPr>
          <w:trHeight w:val="6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Кирова от ФСБ МКД </w:t>
            </w:r>
            <w:r>
              <w:rPr>
                <w:color w:val="000000"/>
                <w:sz w:val="18"/>
                <w:szCs w:val="18"/>
              </w:rPr>
              <w:br/>
              <w:t xml:space="preserve">до ул.Кирова, 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2014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16,00</w:t>
            </w:r>
            <w:r/>
          </w:p>
        </w:tc>
      </w:tr>
      <w:tr>
        <w:trPr>
          <w:trHeight w:val="236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Кирова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 ул.Шухова, 25г кор.1 до ул.Кирова, 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18,00</w:t>
            </w:r>
            <w:r/>
          </w:p>
        </w:tc>
      </w:tr>
      <w:tr>
        <w:trPr>
          <w:trHeight w:val="6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 ул.Кирвера 51,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 ул.Кирова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0,269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68,00</w:t>
            </w:r>
            <w:r/>
          </w:p>
        </w:tc>
      </w:tr>
      <w:tr>
        <w:trPr>
          <w:trHeight w:val="42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Урицкого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 Урицкого 90 (ул.Заводская, 2)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 КНС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0,362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68,00</w:t>
            </w:r>
            <w:r/>
          </w:p>
        </w:tc>
      </w:tr>
      <w:tr>
        <w:trPr>
          <w:trHeight w:val="376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Шухова от ул.Шухова, 25г кор.2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2017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10,00</w:t>
            </w:r>
            <w:r/>
          </w:p>
        </w:tc>
      </w:tr>
      <w:tr>
        <w:trPr>
          <w:trHeight w:val="326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напорная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КНС – ул.Интернациональная, 9 (напорная)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0,224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78,00</w:t>
            </w:r>
            <w:r/>
          </w:p>
        </w:tc>
      </w:tr>
      <w:tr>
        <w:trPr>
          <w:trHeight w:val="177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Интернациональная (напорная)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0,498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а/ц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78,00</w:t>
            </w:r>
            <w:r/>
          </w:p>
        </w:tc>
      </w:tr>
      <w:tr>
        <w:trPr>
          <w:trHeight w:val="25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Урицкого (напорная)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1,584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а/ц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78,00</w:t>
            </w:r>
            <w:r/>
          </w:p>
        </w:tc>
      </w:tr>
      <w:tr>
        <w:trPr>
          <w:trHeight w:val="269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Пролетарского (напорная)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0,89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а/ц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78,00</w:t>
            </w:r>
            <w:r/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Шухова (напорная)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1,936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78,00</w:t>
            </w:r>
            <w:r/>
          </w:p>
        </w:tc>
      </w:tr>
      <w:tr>
        <w:trPr>
          <w:trHeight w:val="248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Шухова - очистные (напорная)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1,708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78,00</w:t>
            </w:r>
            <w:r/>
          </w:p>
        </w:tc>
      </w:tr>
      <w:tr>
        <w:trPr>
          <w:trHeight w:val="279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КНС - ул.Спасского (напорная)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0,298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44,00</w:t>
            </w:r>
            <w:r/>
          </w:p>
        </w:tc>
      </w:tr>
      <w:tr>
        <w:trPr>
          <w:trHeight w:val="128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ул.Спасского (напорная)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1,212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44,00</w:t>
            </w:r>
            <w:r/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Кирова (напорная)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1,544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44,00</w:t>
            </w:r>
            <w:r/>
          </w:p>
        </w:tc>
      </w:tr>
      <w:tr>
        <w:trPr>
          <w:trHeight w:val="32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Заводская (напорная)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0,146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44,00</w:t>
            </w:r>
            <w:r/>
          </w:p>
        </w:tc>
      </w:tr>
      <w:tr>
        <w:trPr>
          <w:trHeight w:val="267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КНС – ул.Шухова (напорная)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0,664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78,00</w:t>
            </w:r>
            <w:r/>
          </w:p>
        </w:tc>
      </w:tr>
      <w:tr>
        <w:trPr>
          <w:trHeight w:val="3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Шухова (напорная)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0,842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78,00</w:t>
            </w:r>
            <w:r/>
          </w:p>
        </w:tc>
      </w:tr>
      <w:tr>
        <w:trPr>
          <w:trHeight w:val="247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Серика – очистные (напорная)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1,394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78,00</w:t>
            </w:r>
            <w:r/>
          </w:p>
        </w:tc>
      </w:tr>
      <w:tr>
        <w:trPr>
          <w:trHeight w:val="408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Гора-Подол, </w:t>
            </w:r>
            <w:r>
              <w:rPr>
                <w:color w:val="000000"/>
                <w:sz w:val="18"/>
                <w:szCs w:val="18"/>
              </w:rPr>
              <w:br/>
              <w:t xml:space="preserve">ул. Кирпичный завод, 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0,076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2016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12,00</w:t>
            </w:r>
            <w:r/>
          </w:p>
        </w:tc>
      </w:tr>
      <w:tr>
        <w:trPr>
          <w:trHeight w:val="271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Гора-Подол,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Кирпичный завод, 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2016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12,00</w:t>
            </w:r>
            <w:r/>
          </w:p>
        </w:tc>
      </w:tr>
      <w:tr>
        <w:trPr>
          <w:trHeight w:val="60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676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Гора-Подол,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Борисенко, 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28,00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п. Горьковский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п. Горьковский, ул.Крячко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1998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48,00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п. Чапаевский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п. Чапаевский, ул.Центральная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п/этилен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1998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48,00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0,731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1998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48,00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</w:t>
            </w:r>
            <w:r>
              <w:rPr>
                <w:color w:val="000000"/>
                <w:sz w:val="18"/>
                <w:szCs w:val="18"/>
              </w:rPr>
              <w:br/>
              <w:t xml:space="preserve">ул. Октябрьская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1,1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чугун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06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1998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9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48,00</w:t>
            </w:r>
            <w:r/>
          </w:p>
        </w:tc>
      </w:tr>
    </w:tbl>
    <w:p>
      <w:pPr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Информация о существующих канализационных насосных станциях представлена в таблице 43.</w:t>
      </w:r>
      <w:r/>
    </w:p>
    <w:p>
      <w:pPr>
        <w:jc w:val="center"/>
        <w:rPr>
          <w:b/>
          <w:shd w:val="clear" w:color="auto" w:fill="ffffff"/>
        </w:rPr>
        <w:sectPr>
          <w:footnotePr/>
          <w:endnotePr/>
          <w:type w:val="nextPage"/>
          <w:pgSz w:w="11906" w:h="16838" w:orient="portrait"/>
          <w:pgMar w:top="1134" w:right="851" w:bottom="1134" w:left="1418" w:header="708" w:footer="708" w:gutter="0"/>
          <w:cols w:num="1" w:sep="0" w:space="708" w:equalWidth="1"/>
          <w:docGrid w:linePitch="360"/>
        </w:sectPr>
      </w:pPr>
      <w:r>
        <w:rPr>
          <w:b/>
          <w:shd w:val="clear" w:color="auto" w:fill="ffffff"/>
        </w:rPr>
      </w:r>
      <w:r/>
    </w:p>
    <w:p>
      <w:pPr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Сведения о существующих насосных станциях</w:t>
      </w:r>
      <w:r/>
    </w:p>
    <w:p>
      <w:pPr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</w:r>
      <w:r/>
    </w:p>
    <w:p>
      <w:pPr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Таблица 43</w:t>
      </w:r>
      <w:r/>
    </w:p>
    <w:p>
      <w:pPr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</w:r>
      <w:r/>
    </w:p>
    <w:tbl>
      <w:tblPr>
        <w:tblW w:w="5022" w:type="pct"/>
        <w:tblLayout w:type="fixed"/>
        <w:tblLook w:val="04A0" w:firstRow="1" w:lastRow="0" w:firstColumn="1" w:lastColumn="0" w:noHBand="0" w:noVBand="1"/>
      </w:tblPr>
      <w:tblGrid>
        <w:gridCol w:w="674"/>
        <w:gridCol w:w="1562"/>
        <w:gridCol w:w="2124"/>
        <w:gridCol w:w="1135"/>
        <w:gridCol w:w="1135"/>
        <w:gridCol w:w="710"/>
        <w:gridCol w:w="1274"/>
        <w:gridCol w:w="849"/>
        <w:gridCol w:w="992"/>
        <w:gridCol w:w="992"/>
        <w:gridCol w:w="1135"/>
        <w:gridCol w:w="894"/>
        <w:gridCol w:w="1375"/>
      </w:tblGrid>
      <w:tr>
        <w:trPr>
          <w:trHeight w:val="1260"/>
        </w:trPr>
        <w:tc>
          <w:tcPr>
            <w:shd w:val="clear" w:color="auto" w:fill="auto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22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№ п/п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Место нахождения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Наименование оборудования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Год ввода </w:t>
            </w:r>
            <w:r/>
          </w:p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в эксплуа-тацию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Q, </w:t>
            </w:r>
            <w:r/>
          </w:p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по паспорту м3/час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H, 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Марка электодви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-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гателя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P, кВт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n, об/ мин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Напря-жение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Наличие ПЧ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301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Износ, %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Техническое состояние</w:t>
            </w:r>
            <w:r/>
          </w:p>
        </w:tc>
      </w:tr>
      <w:tr>
        <w:trPr>
          <w:trHeight w:val="315"/>
        </w:trPr>
        <w:tc>
          <w:tcPr>
            <w:gridSpan w:val="12"/>
            <w:shd w:val="clear" w:color="auto" w:fill="auto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453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КНС Мира</w:t>
            </w:r>
            <w:r/>
          </w:p>
        </w:tc>
        <w:tc>
          <w:tcPr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22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г. Грайворон ул. Мира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Gobza Biom V.50-245.180.55.303.B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30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</w:t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227" w:type="pct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Gobza Biom V.50-245.180.55.303.B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30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</w:t>
            </w:r>
            <w:r/>
          </w:p>
        </w:tc>
      </w:tr>
      <w:tr>
        <w:trPr>
          <w:trHeight w:val="315"/>
        </w:trPr>
        <w:tc>
          <w:tcPr>
            <w:gridSpan w:val="12"/>
            <w:shd w:val="clear" w:color="ffffcc" w:fill="ffffff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453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КНС Психинтернат</w:t>
            </w:r>
            <w:r/>
          </w:p>
        </w:tc>
        <w:tc>
          <w:tcPr>
            <w:shd w:val="clear" w:color="ffffcc" w:fill="ffffff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15"/>
        </w:trPr>
        <w:tc>
          <w:tcPr>
            <w:shd w:val="clear" w:color="ffffcc" w:fill="ffffff"/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22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г. Грайворон ул. Урицкого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Gobza Biom V.50-245.180.55.303.B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30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</w:t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W w:w="227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6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Gobza Biom V.50-245.180.55.303.B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30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</w:t>
            </w:r>
            <w:r/>
          </w:p>
        </w:tc>
      </w:tr>
      <w:tr>
        <w:trPr>
          <w:trHeight w:val="315"/>
        </w:trPr>
        <w:tc>
          <w:tcPr>
            <w:gridSpan w:val="12"/>
            <w:shd w:val="clear" w:color="ffffcc" w:fill="ffffff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453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КНС Шухова</w:t>
            </w:r>
            <w:r/>
          </w:p>
        </w:tc>
        <w:tc>
          <w:tcPr>
            <w:shd w:val="clear" w:color="ffffcc" w:fill="ffffff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</w:tr>
      <w:tr>
        <w:trPr>
          <w:trHeight w:val="315"/>
        </w:trPr>
        <w:tc>
          <w:tcPr>
            <w:shd w:val="clear" w:color="ffffcc" w:fill="ffffff"/>
            <w:tcBorders>
              <w:top w:val="none" w:color="000000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tcW w:w="22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2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г. Грайворон ул. Мира</w:t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Gobza Avis D.80-295.200.15Y.303.B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2020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81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 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30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ffffcc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</w:t>
            </w:r>
            <w:r/>
          </w:p>
        </w:tc>
      </w:tr>
      <w:tr>
        <w:trPr>
          <w:trHeight w:val="31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4" w:space="0"/>
              <w:right w:val="single" w:color="auto" w:sz="4" w:space="0"/>
            </w:tcBorders>
            <w:tcW w:w="227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526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Gobza Avis D.80-295.200.15Y.303.B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2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8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3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301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</w:t>
            </w:r>
            <w:r/>
          </w:p>
        </w:tc>
      </w:tr>
      <w:tr>
        <w:trPr>
          <w:trHeight w:val="330"/>
        </w:trPr>
        <w:tc>
          <w:tcPr>
            <w:shd w:val="clear" w:color="auto" w:fill="auto"/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tcW w:w="22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4" w:space="0"/>
            </w:tcBorders>
            <w:tcW w:w="526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ВСЕГО: </w:t>
            </w:r>
            <w:r/>
          </w:p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3 КНС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4" w:space="0"/>
            </w:tcBorders>
            <w:tcW w:w="715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4" w:space="0"/>
            </w:tcBorders>
            <w:tcW w:w="382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4" w:space="0"/>
            </w:tcBorders>
            <w:tcW w:w="38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4" w:space="0"/>
            </w:tcBorders>
            <w:tcW w:w="23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4" w:space="0"/>
            </w:tcBorders>
            <w:tcW w:w="42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4" w:space="0"/>
            </w:tcBorders>
            <w:tcW w:w="2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4" w:space="0"/>
            </w:tcBorders>
            <w:tcW w:w="33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4" w:space="0"/>
            </w:tcBorders>
            <w:tcW w:w="33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4" w:space="0"/>
            </w:tcBorders>
            <w:tcW w:w="38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 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01" w:type="pct"/>
            <w:vAlign w:val="center"/>
            <w:textDirection w:val="lrTb"/>
            <w:noWrap/>
          </w:tcPr>
          <w:p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463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</w:tr>
    </w:tbl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22"/>
        <w:ind w:left="0" w:firstLine="709"/>
        <w:jc w:val="both"/>
        <w:rPr>
          <w:sz w:val="28"/>
          <w:szCs w:val="28"/>
        </w:rPr>
        <w:sectPr>
          <w:footnotePr/>
          <w:endnotePr/>
          <w:type w:val="nextPage"/>
          <w:pgSz w:w="16838" w:h="11906" w:orient="landscape"/>
          <w:pgMar w:top="1418" w:right="1134" w:bottom="851" w:left="1134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Сточные воды с территории города по самотечным канализационным трубопроводам поступают через решётку, на которой задерживаются крупные отбросы (мусор) в приемный резервуар КНС города, далее сточные воды подаются на очистные сооружения.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очистных сооружениях сточные воды проходят следующие стадии очистки: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Механическая очистка - песколовки, первичные отстойники.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Биологическая очистка 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аэротанки, вторичные отстойники.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Обеззараживание стоков - ультрафиолетовая очистка.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Обеззараживание осадка - иловые площадки.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Механическая очистка предназначена для осветления сточных вод. Этот блок состоит из приемной камеры, механизированных решеток, песколовок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первичных отстойников. Сточные воды, прошедшие механическую очистку на существующих сооружениях (решетки, песколовки, первичные отстойники), подвергаются биологической очистке в аэротанках.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блока биологической очистки входят аэротанки и вторичные отстойники. Процесс биологической очистки происходит за счет жизнедеятельности в аэротанке активного ила при постоянном контакте с кислород</w:t>
      </w:r>
      <w:r>
        <w:rPr>
          <w:sz w:val="28"/>
          <w:szCs w:val="28"/>
        </w:rPr>
        <w:t xml:space="preserve">ом воздуха, нагнетаемого в аэротанке. Активный ил – это биоценоз, населенный различными бактериями, простейшими и многоклеточными микроорганизмами, которые трансформируют загрязняющие вещества сточных вод и таким образом очищают их. В аэротанках в процессе</w:t>
      </w:r>
      <w:r>
        <w:rPr>
          <w:sz w:val="28"/>
          <w:szCs w:val="28"/>
        </w:rPr>
        <w:t xml:space="preserve"> жизнедеятельности аэробных микроорганизмов происходит очистка стоков от биологических загрязнений. Бактерии, питаясь, разлагают крупные молекулы органических веществ на их безопасные составляющие – углерод, азот, воду и безопасные соединения этих веществ.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Ультрафиолетовое обеззараживание имеет много преимуществ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по сравнению с окислительными обеззараживающими методами (хлорирование, озонирование). Ультрафиолетовое облучение летально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д</w:t>
      </w:r>
      <w:r>
        <w:rPr>
          <w:sz w:val="28"/>
          <w:szCs w:val="28"/>
        </w:rPr>
        <w:t xml:space="preserve">ля большинства водных бактерий, вирусов, спор. Обеззараживание ультрафиолетом происходит за счет фотохимических реакций внутри микроорганизмов, поэтому на его эффективность изменение характеристик воды оказывает намного меньшее влияние, чем при обеззаражив</w:t>
      </w:r>
      <w:r>
        <w:rPr>
          <w:sz w:val="28"/>
          <w:szCs w:val="28"/>
        </w:rPr>
        <w:t xml:space="preserve">ании химическими реагентами. В обработанной ультрафиолетовым излучением воде не обнаруживаются токсичные и мутагенные соединения, оказывающие негативное влияние на биоценоз водоемов. Для обеззараживания ультрафиолетовым излучением характерны более низкие,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чем при хлорировании и, тем более, озонировании эксплуатационные расходы. Отсутствует необходимость создания складов токсичных хлорсодержащих реагентов, требующих соблюдения специальных мер технической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экологической безопасности, что повышает надежность систем водоснабжения и канализации в целом. Ультрафиолетовое оборудование компактно, требует минимальных площадей, его внедрение возможно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действующие технологические процессы очистных сооружений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без их остановки, с минимальными объемами строительно-монтажных работ. Ультрафиолетовое облучение не придает воде запаха или привкусов. Бактерицидная установка не нуждается в реагентах, она компактна, управление ее работой можно легко автоматизировать.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Иловые площадки – это участок земли, специально спланированный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виде нескольких площадок, которые называют картами. Каждая площадка огорожена земляным валиком со всех сторон (но с одной стороны может быть устроен въезд для автотрансп</w:t>
      </w:r>
      <w:r>
        <w:rPr>
          <w:sz w:val="28"/>
          <w:szCs w:val="28"/>
        </w:rPr>
        <w:t xml:space="preserve">орта). На площадке организована система подающих труб, через которые периодически равномерно по площади подается сырой осадок или активный ил. Он сушится до влажности около 75-80%. После чего «сухой осадок» погружают на автотранспорт и вывозят на полигоны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или на дальнейшую переработку. Иловая же вода, просачивается сквозь землю.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22"/>
        <w:ind w:left="0"/>
        <w:jc w:val="center"/>
        <w:spacing w:before="240"/>
        <w:rPr>
          <w:b/>
          <w:sz w:val="28"/>
          <w:szCs w:val="28"/>
        </w:rPr>
        <w:outlineLvl w:val="2"/>
      </w:pPr>
      <w:r/>
      <w:bookmarkStart w:id="12" w:name="_Toc533014790"/>
      <w:r>
        <w:rPr>
          <w:b/>
          <w:sz w:val="28"/>
          <w:szCs w:val="28"/>
        </w:rPr>
        <w:t xml:space="preserve">2.1.4. Газоснабжение</w:t>
      </w:r>
      <w:bookmarkEnd w:id="12"/>
      <w:r/>
      <w:r/>
    </w:p>
    <w:p>
      <w:pPr>
        <w:pStyle w:val="822"/>
        <w:ind w:left="0" w:firstLine="709"/>
        <w:jc w:val="center"/>
        <w:rPr>
          <w:b/>
          <w:sz w:val="28"/>
          <w:szCs w:val="28"/>
        </w:rPr>
        <w:outlineLvl w:val="2"/>
      </w:pPr>
      <w:r>
        <w:rPr>
          <w:b/>
          <w:sz w:val="28"/>
          <w:szCs w:val="28"/>
        </w:rPr>
      </w:r>
      <w:r/>
    </w:p>
    <w:p>
      <w:pPr>
        <w:pStyle w:val="1153"/>
        <w:ind w:firstLine="709"/>
        <w:spacing w:line="240" w:lineRule="auto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  <w:t xml:space="preserve">Источником подачи природного газа для Грайворонского городского округа является газопровод-отвод от магистрального </w:t>
      </w:r>
      <w:r>
        <w:rPr>
          <w:sz w:val="28"/>
          <w:szCs w:val="28"/>
        </w:rPr>
        <w:t xml:space="preserve">газопровода «Шебелинка-Белгород-Курск-Брянск». На территории Грайворонского городского округа имеется две газораспределительных станции (ГРС). Уровень охвата централизованным газоснабжением населенных пунктов Грайворонского городского округа превышает 98%.</w:t>
      </w:r>
      <w:r/>
    </w:p>
    <w:p>
      <w:pPr>
        <w:ind w:firstLine="720"/>
        <w:jc w:val="both"/>
        <w:shd w:val="clear" w:color="auto" w:fill="ffffff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Снабжение природным и сжиженным газом потребителей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Грайворонском городском округе осуществляет АО «Газпром газораспределение Белгород». Природным газом пользуется население всех населённых пунктов.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Источниками газопотре</w:t>
      </w:r>
      <w:r>
        <w:rPr>
          <w:sz w:val="28"/>
          <w:szCs w:val="28"/>
        </w:rPr>
        <w:t xml:space="preserve">бления являются население, предприятия общественного питания, коммунально-бытовые учреждения и предприятия, местные котельные и бытовые печи, сельскохозяйственные и промышленные предприятия. Основной объем газа, поступающий на жизнеобеспечение жилого фонда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распределяется на эксплуатацию бытовых газовых приборов (газовые плиты, газовые водогрейные колонки, отопительные агрегаты горячего водоснабжения).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основном газоснабжение потребителей коммунально-бытового назначения, а также жилых домов производится по газопроводам низкого давления Ру&lt;3,0 кПа. </w:t>
      </w:r>
      <w:r/>
    </w:p>
    <w:p>
      <w:pPr>
        <w:ind w:firstLine="720"/>
        <w:jc w:val="both"/>
        <w:shd w:val="clear" w:color="auto" w:fill="ffffff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Эксплуатация газораспределительной системы городского округа производится филиалом АО «Газпром газораспределение Белгород»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г. Строителе. В системе газоснабжения Грайворонского городского округа, можно выделить следующие основные задачи:</w:t>
      </w:r>
      <w:r/>
    </w:p>
    <w:p>
      <w:pPr>
        <w:pStyle w:val="822"/>
        <w:numPr>
          <w:ilvl w:val="0"/>
          <w:numId w:val="38"/>
        </w:numPr>
        <w:ind w:left="0" w:firstLine="4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подключение к газораспределительной системе объектов нового строительства;</w:t>
      </w:r>
      <w:r/>
    </w:p>
    <w:p>
      <w:pPr>
        <w:pStyle w:val="822"/>
        <w:numPr>
          <w:ilvl w:val="0"/>
          <w:numId w:val="38"/>
        </w:numPr>
        <w:ind w:left="0" w:firstLine="4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надежности газоснабжения потребителей;</w:t>
      </w:r>
      <w:r/>
    </w:p>
    <w:p>
      <w:pPr>
        <w:pStyle w:val="822"/>
        <w:numPr>
          <w:ilvl w:val="0"/>
          <w:numId w:val="38"/>
        </w:numPr>
        <w:ind w:left="0" w:firstLine="4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своевременная перекладка газовых </w:t>
      </w:r>
      <w:r>
        <w:rPr>
          <w:sz w:val="28"/>
          <w:szCs w:val="28"/>
        </w:rPr>
        <w:t xml:space="preserve">сетей и замена оборудования.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по газификации предусматривают повышение уровня обеспеченности приборным учетом потребителей в жилищном фонде. Оказать содействие в подключении домовладений к газораспределительным сетям.</w:t>
      </w:r>
      <w:r/>
    </w:p>
    <w:p>
      <w:pPr>
        <w:pStyle w:val="822"/>
        <w:ind w:left="0" w:firstLine="708"/>
        <w:jc w:val="both"/>
      </w:pPr>
      <w:r>
        <w:rPr>
          <w:sz w:val="28"/>
          <w:szCs w:val="28"/>
        </w:rPr>
        <w:t xml:space="preserve">Характеристика газопроводов указана в таблице 44.</w:t>
      </w:r>
      <w:r/>
    </w:p>
    <w:p>
      <w:pPr>
        <w:pStyle w:val="822"/>
        <w:ind w:left="0"/>
        <w:jc w:val="right"/>
        <w:sectPr>
          <w:footnotePr/>
          <w:endnotePr/>
          <w:type w:val="nextPage"/>
          <w:pgSz w:w="11906" w:h="16838" w:orient="portrait"/>
          <w:pgMar w:top="1134" w:right="851" w:bottom="1134" w:left="1418" w:header="708" w:footer="708" w:gutter="0"/>
          <w:cols w:num="1" w:sep="0" w:space="708" w:equalWidth="1"/>
          <w:docGrid w:linePitch="360"/>
        </w:sectPr>
      </w:pPr>
      <w:r/>
      <w:r/>
    </w:p>
    <w:p>
      <w:pPr>
        <w:pStyle w:val="822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Характеристика трубопроводов муниципального образования</w:t>
      </w:r>
      <w:r/>
    </w:p>
    <w:p>
      <w:pPr>
        <w:pStyle w:val="822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44</w:t>
      </w:r>
      <w:r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17"/>
        <w:gridCol w:w="2072"/>
        <w:gridCol w:w="1729"/>
        <w:gridCol w:w="1786"/>
        <w:gridCol w:w="2426"/>
        <w:gridCol w:w="1999"/>
        <w:gridCol w:w="1737"/>
        <w:gridCol w:w="2620"/>
      </w:tblGrid>
      <w:tr>
        <w:trPr>
          <w:jc w:val="center"/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№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1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Наименование участка трубопровода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5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Тип прокладки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4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Давление, МПА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20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Материал трубопровода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Протяжённость, км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7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Тип газопровода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6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Год ввода в эксплуатацию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высокое  I кат.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Надземный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2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1689,9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1995-2003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высокое  II кат.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Надземный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2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1805,6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1989-2002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среднего  III кат.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Надземный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2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1524,1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1993-2001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низкое  IV кат.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Надземный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2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255715,25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1992-2007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высокое  I кат.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2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130181,19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1989-2015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высокое  II кат.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2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70209,94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1989-2011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среднего  III кат.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2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25712,88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1992-2012</w:t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низкое  IV кат.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0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2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сталь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67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157647,29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8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86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1991-2018</w:t>
            </w:r>
            <w:r/>
          </w:p>
        </w:tc>
      </w:tr>
    </w:tbl>
    <w:p>
      <w:pPr>
        <w:pStyle w:val="822"/>
        <w:ind w:left="0"/>
        <w:jc w:val="center"/>
      </w:pPr>
      <w:r/>
      <w:r/>
    </w:p>
    <w:p>
      <w:pPr>
        <w:pStyle w:val="82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Характеристика газорегуляторных пунктов указана в таблице 45.</w:t>
      </w:r>
      <w:r/>
    </w:p>
    <w:p>
      <w:pPr>
        <w:pStyle w:val="822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22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Характеристика газорегуляторных пунктов</w:t>
      </w:r>
      <w:r/>
    </w:p>
    <w:p>
      <w:pPr>
        <w:pStyle w:val="822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22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45</w:t>
      </w:r>
      <w:r/>
    </w:p>
    <w:p>
      <w:pPr>
        <w:pStyle w:val="822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535"/>
        <w:gridCol w:w="3623"/>
        <w:gridCol w:w="3262"/>
        <w:gridCol w:w="1745"/>
        <w:gridCol w:w="2789"/>
        <w:gridCol w:w="1416"/>
        <w:gridCol w:w="1416"/>
      </w:tblGrid>
      <w:tr>
        <w:trPr>
          <w:trHeight w:val="20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№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Наименование ГРП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Местонахождение ГРП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Тип ГРП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94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Производительность, </w:t>
            </w:r>
            <w:r/>
          </w:p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тыс. м3/час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Давление </w:t>
            </w:r>
            <w:r/>
          </w:p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до ГРП, Мпа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Давление после ГРС, Мпа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  ул. Народная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Грайворон ул. Народная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1- линия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ул. Луначарского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Грайворон  ул. Луначарского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2- линии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1418;900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1,2;1,2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0,3                0,005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 ул. Спасского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Грайворон  ул. Спасского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1- линия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</w:t>
            </w:r>
            <w:r>
              <w:rPr>
                <w:color w:val="000000"/>
                <w:sz w:val="20"/>
                <w:szCs w:val="20"/>
              </w:rPr>
              <w:t xml:space="preserve"> ул. Мира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г.Грайворон ул. Мира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1- линия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1,2;1,2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0,3                0,005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 с.1-я Новостр.</w:t>
            </w:r>
            <w:r>
              <w:rPr>
                <w:color w:val="000000"/>
                <w:sz w:val="20"/>
                <w:szCs w:val="20"/>
              </w:rPr>
              <w:br/>
              <w:t xml:space="preserve">ул.Первомайская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 с.1-я Новостр.</w:t>
            </w:r>
            <w:r>
              <w:rPr>
                <w:color w:val="000000"/>
                <w:sz w:val="20"/>
                <w:szCs w:val="20"/>
              </w:rPr>
              <w:br/>
              <w:t xml:space="preserve">ул.Первомайская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1- линия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6500                                              6500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1,2;1,2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0,3                0,005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    с. Замостье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    с. Замостье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1- линия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ГГРП « Дружба»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Г-Подол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2- линии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12442                                                 </w:t>
            </w:r>
            <w:r>
              <w:rPr>
                <w:color w:val="000000"/>
                <w:sz w:val="20"/>
                <w:szCs w:val="20"/>
              </w:rPr>
              <w:t xml:space="preserve">12442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                                   </w:t>
            </w:r>
            <w:r>
              <w:rPr>
                <w:color w:val="000000"/>
                <w:sz w:val="20"/>
                <w:szCs w:val="20"/>
              </w:rPr>
              <w:t xml:space="preserve">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                                     </w:t>
            </w:r>
            <w:r>
              <w:rPr>
                <w:color w:val="000000"/>
                <w:sz w:val="20"/>
                <w:szCs w:val="20"/>
              </w:rPr>
              <w:t xml:space="preserve">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 с. Г-Подол  пер.Стадионный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Г-Подол  пер.Стадионный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1- линия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 ул.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Грайворонская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Козинка ул.Грайворонская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1- линия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ГРПБ  с. Пороз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Пороз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1- линия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 с. Мокрая Орловка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Мокрая Орловка ул.Грайворонская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2- линии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6500                                              6500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1,2;1,2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0,3                0,005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ГРПБ  с. Косилово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Косилово ул. Кононеровка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1- линия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14600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ГГРП с.Доброивановка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с.Доброивановка ул. Куток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2- линии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6500                                              6500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1,2;1,2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0,3                0,005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  с. Ломное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Ломное ул. Новоселовка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1- линия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ГГРП  с.Головчино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1- линия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22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ГРП  ул.Чапаева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0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с.Головчино ул.Чапаева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9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1- линия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94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7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0,005</w:t>
            </w:r>
            <w:r/>
          </w:p>
        </w:tc>
      </w:tr>
    </w:tbl>
    <w:p>
      <w:pPr>
        <w:pStyle w:val="822"/>
        <w:ind w:left="0"/>
        <w:jc w:val="center"/>
        <w:sectPr>
          <w:footnotePr/>
          <w:endnotePr/>
          <w:type w:val="nextPage"/>
          <w:pgSz w:w="16838" w:h="11906" w:orient="landscape"/>
          <w:pgMar w:top="851" w:right="1134" w:bottom="1418" w:left="1134" w:header="709" w:footer="709" w:gutter="0"/>
          <w:cols w:num="1" w:sep="0" w:space="708" w:equalWidth="1"/>
          <w:docGrid w:linePitch="360"/>
        </w:sectPr>
      </w:pPr>
      <w:r/>
      <w:r/>
    </w:p>
    <w:p>
      <w:pPr>
        <w:pStyle w:val="822"/>
        <w:ind w:left="0"/>
        <w:jc w:val="center"/>
        <w:rPr>
          <w:sz w:val="28"/>
          <w:szCs w:val="28"/>
        </w:rPr>
        <w:outlineLvl w:val="2"/>
      </w:pPr>
      <w:r/>
      <w:bookmarkStart w:id="13" w:name="_Toc533014791"/>
      <w:r>
        <w:rPr>
          <w:b/>
          <w:sz w:val="28"/>
          <w:szCs w:val="28"/>
        </w:rPr>
        <w:t xml:space="preserve">2.1.5. Электроснабжение</w:t>
      </w:r>
      <w:bookmarkEnd w:id="13"/>
      <w:r/>
      <w:r/>
    </w:p>
    <w:p>
      <w:pPr>
        <w:pStyle w:val="822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Грайворонский городской округ является энергодефицитным,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все энергоресурсы поставляются из-за пределов муниципального образования. </w:t>
      </w:r>
      <w:r/>
    </w:p>
    <w:p>
      <w:pPr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 поставщиком электроэнергии в настоящее время является                           ОАО «Белгородская сбытовая компания». </w:t>
      </w:r>
      <w:r/>
    </w:p>
    <w:p>
      <w:pPr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30 января 2004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</w:t>
      </w:r>
      <w:r>
        <w:rPr>
          <w:color w:val="000000"/>
          <w:sz w:val="28"/>
          <w:szCs w:val="28"/>
        </w:rPr>
        <w:t xml:space="preserve">ода</w:t>
      </w:r>
      <w:r>
        <w:rPr>
          <w:color w:val="000000"/>
          <w:sz w:val="28"/>
          <w:szCs w:val="28"/>
        </w:rPr>
        <w:t xml:space="preserve"> образована региональная распределительная сетевая компания (РСК) ОАО «Белгородэнерго». Основная задача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РСК ОАО «Белгородэнерго» - обеспечение надёжного функционирования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и развития распределительного электросетевого комплекса региона. Управление деятельностью компании осуществляет ОАО «МРСК Центра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и Северного Кавказа», созданное в результате реформирования электроэнергетики и объединяющее 26 региональных сетевых компаний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по территориальному признаку. </w:t>
      </w:r>
      <w:r/>
    </w:p>
    <w:p>
      <w:pPr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Белгородского региона находится Региональная генерирующая компания (РГК). Белгородская РГК входит в состав Территориальной генерирующей компании №4 (ТГК-№4). Установленная мощность Белгородской РГК 147,6 МВт. </w:t>
      </w:r>
      <w:r/>
    </w:p>
    <w:p>
      <w:pPr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выполнения основной своей задачи, обеспечения надёжного функционирования и развития распределительного электросетевого комплекса региона, РСК ОАО «Белгородэнерго» должна иметь надёжную электрическую сеть. </w:t>
      </w:r>
      <w:r/>
    </w:p>
    <w:p>
      <w:pPr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 надёжностью электрической сети (или её участка) понимается способность осуществлять передачу и распределение требуемого количества электроэнергии без ухудшения её качества от источников к потребителям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и в соответствии с заданным графиком нагрузки. Надёжность сети зависит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от технического состояния и технического уровня, входящих в её состав элементов и схемы их соединения. </w:t>
      </w:r>
      <w:r/>
    </w:p>
    <w:p>
      <w:pPr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процессе реконструкции, техперевооружения и строительства новых энергообъектов используется современное оборудование и новейшие технологии. В распределительных устройствах устанавливаются электрогазовые выключатели 110 кВ и вакуумные выключатели 10 кВ,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при замене воздушных линий 10-0,4 кВ используется самонесущий изолированный провод (СИП), а при строительстве кабельных линий – термоусаживаемые муфты и кабель из сшитого полиэтилена. В части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ЛЭП 35-110 кВ важным становится применение подвесных полимерных изоляторов, использование арматуры с цинковым покрытием, а также расчистка просек механизированным и химическим способом. </w:t>
      </w:r>
      <w:r/>
    </w:p>
    <w:p>
      <w:pPr>
        <w:pStyle w:val="1153"/>
        <w:ind w:firstLine="700"/>
        <w:spacing w:line="240" w:lineRule="auto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  <w:t xml:space="preserve">Обеспечение бесперебойного и качественного электроснабжения потребителей электрической энергии способствует охране здоровья населения и улучшению качества жизни населения.</w:t>
      </w:r>
      <w:r/>
    </w:p>
    <w:p>
      <w:pPr>
        <w:pStyle w:val="1153"/>
        <w:ind w:firstLine="700"/>
        <w:spacing w:line="240" w:lineRule="auto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  <w:t xml:space="preserve">Объекты и сети электроснабжения Грайворонского городского округа находятся на балансе ПАО «Белгородэнерго» - филиал ПАО «МРСК Центра».</w:t>
      </w:r>
      <w:r/>
    </w:p>
    <w:p>
      <w:pPr>
        <w:pStyle w:val="1153"/>
        <w:ind w:firstLine="700"/>
        <w:spacing w:line="240" w:lineRule="auto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1153"/>
        <w:ind w:firstLine="700"/>
        <w:spacing w:line="240" w:lineRule="auto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  <w:t xml:space="preserve">На территории муниципального образования расположены:</w:t>
      </w:r>
      <w:r/>
    </w:p>
    <w:p>
      <w:pPr>
        <w:pStyle w:val="1153"/>
        <w:numPr>
          <w:ilvl w:val="0"/>
          <w:numId w:val="23"/>
        </w:numPr>
        <w:ind w:firstLine="703"/>
        <w:spacing w:line="240" w:lineRule="auto"/>
        <w:shd w:val="clear" w:color="auto" w:fill="auto"/>
        <w:widowControl/>
        <w:tabs>
          <w:tab w:val="left" w:pos="96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опорная подстанция ПС 110/35/10 кВ «Грайворон»;</w:t>
      </w:r>
      <w:r/>
    </w:p>
    <w:p>
      <w:pPr>
        <w:pStyle w:val="1153"/>
        <w:numPr>
          <w:ilvl w:val="0"/>
          <w:numId w:val="23"/>
        </w:numPr>
        <w:ind w:firstLine="703"/>
        <w:spacing w:line="240" w:lineRule="auto"/>
        <w:shd w:val="clear" w:color="auto" w:fill="auto"/>
        <w:widowControl/>
        <w:tabs>
          <w:tab w:val="left" w:pos="96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понизительные подстанции напряжением 35 кВ-4 объектов.</w:t>
      </w:r>
      <w:r/>
    </w:p>
    <w:p>
      <w:pPr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ПС 110/35/10 Грайворон питает ПС 35/10 Г.Подол, ПС 35/10 Дорогощь. ПС 35/10 Головчино. ПС 35/10 К.Лисица запитана от ПС 110/35/10 Красная Яруга</w:t>
      </w:r>
      <w:r>
        <w:rPr>
          <w:color w:val="000000"/>
          <w:sz w:val="28"/>
          <w:szCs w:val="28"/>
        </w:rPr>
        <w:t xml:space="preserve">:</w:t>
      </w:r>
      <w:r>
        <w:rPr>
          <w:color w:val="000000"/>
          <w:sz w:val="28"/>
          <w:szCs w:val="28"/>
        </w:rPr>
        <w:t xml:space="preserve"> </w:t>
      </w:r>
      <w:r/>
    </w:p>
    <w:p>
      <w:pPr>
        <w:ind w:firstLine="720"/>
        <w:jc w:val="both"/>
        <w:tabs>
          <w:tab w:val="left" w:pos="993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на ПС 110/35/10 Грайворон установлено два трансформатора 16000кВА и 25000кВА подключено четыре ВЛ-35кВ и 12 ВЛ-10кВ; </w:t>
      </w:r>
      <w:r/>
    </w:p>
    <w:p>
      <w:pPr>
        <w:ind w:firstLine="720"/>
        <w:jc w:val="both"/>
        <w:tabs>
          <w:tab w:val="left" w:pos="993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на ПС 35/10 Г.Подол установлено два трансформатора 2500 и 4000кВА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подключено пять ВЛ-ЮкВ; </w:t>
      </w:r>
      <w:r/>
    </w:p>
    <w:p>
      <w:pPr>
        <w:ind w:firstLine="720"/>
        <w:jc w:val="both"/>
        <w:tabs>
          <w:tab w:val="left" w:pos="993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на ПС 35/10 Головчино установлено два трансформатора по 2500кВА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подключено пять ВЛ-ЮкВ; </w:t>
      </w:r>
      <w:r/>
    </w:p>
    <w:p>
      <w:pPr>
        <w:ind w:firstLine="720"/>
        <w:jc w:val="both"/>
        <w:tabs>
          <w:tab w:val="left" w:pos="993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на ПС 35/10 Дорогощь установлено два трансформатора по 4000кВА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подключено восемь ВЛ-10кВ; </w:t>
      </w:r>
      <w:r/>
    </w:p>
    <w:p>
      <w:pPr>
        <w:ind w:firstLine="720"/>
        <w:jc w:val="both"/>
        <w:tabs>
          <w:tab w:val="left" w:pos="993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на ПС 35/10 К.Лисица установлен один трансформатор 2500кВА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подключено четыре ВЛ-10кВ. </w:t>
      </w:r>
      <w:r/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подстанции имеют двухстороннее питание за исключением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ПС 35/10 К.Лисица, которая имеет один источник энергии. Состояние оборудования подстанций – удовлетворительное.</w:t>
      </w:r>
      <w:r/>
    </w:p>
    <w:p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Потребление электрической энергии в Грайворонском городском округе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разбивкой по потребителям представлено в таблице 46</w:t>
      </w:r>
      <w:r>
        <w:rPr>
          <w:b/>
          <w:sz w:val="28"/>
          <w:szCs w:val="28"/>
        </w:rPr>
        <w:t xml:space="preserve">.</w:t>
      </w:r>
      <w:r/>
    </w:p>
    <w:p>
      <w:pPr>
        <w:ind w:firstLine="72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2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Потребление электрической энергии в городском округе</w:t>
      </w:r>
      <w:r/>
    </w:p>
    <w:p>
      <w:pPr>
        <w:ind w:firstLine="72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46</w:t>
      </w:r>
      <w:r/>
    </w:p>
    <w:p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9760" w:type="dxa"/>
        <w:tblInd w:w="93" w:type="dxa"/>
        <w:tblLook w:val="04A0" w:firstRow="1" w:lastRow="0" w:firstColumn="1" w:lastColumn="0" w:noHBand="0" w:noVBand="1"/>
      </w:tblPr>
      <w:tblGrid>
        <w:gridCol w:w="3842"/>
        <w:gridCol w:w="1818"/>
        <w:gridCol w:w="1591"/>
        <w:gridCol w:w="1411"/>
        <w:gridCol w:w="1098"/>
      </w:tblGrid>
      <w:tr>
        <w:trPr>
          <w:trHeight w:val="52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42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Тип потребителя</w:t>
            </w:r>
            <w:r/>
          </w:p>
        </w:tc>
        <w:tc>
          <w:tcPr>
            <w:gridSpan w:val="4"/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918" w:type="dxa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Потребление электрической энергии, тыс. кВт</w:t>
            </w:r>
            <w:r/>
          </w:p>
        </w:tc>
      </w:tr>
      <w:tr>
        <w:trPr>
          <w:trHeight w:val="50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4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18" w:type="dxa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2018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1" w:type="dxa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1" w:type="dxa"/>
            <w:vAlign w:val="center"/>
            <w:textDirection w:val="lrTb"/>
            <w:noWrap/>
          </w:tcPr>
          <w:p>
            <w:pPr>
              <w:jc w:val="center"/>
              <w:rPr>
                <w:b/>
                <w:szCs w:val="20"/>
              </w:rPr>
            </w:pPr>
            <w:r>
              <w:rPr>
                <w:b/>
                <w:color w:val="000000"/>
              </w:rPr>
              <w:t xml:space="preserve">2020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98" w:type="dxa"/>
            <w:vAlign w:val="center"/>
            <w:textDirection w:val="lrTb"/>
            <w:noWrap w:val="false"/>
          </w:tcPr>
          <w:p>
            <w:r>
              <w:rPr>
                <w:b/>
                <w:color w:val="000000"/>
              </w:rPr>
              <w:t xml:space="preserve">2021</w:t>
            </w:r>
            <w:r/>
          </w:p>
        </w:tc>
      </w:tr>
      <w:tr>
        <w:trPr>
          <w:trHeight w:val="30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МКД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18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1732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1692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1" w:type="dxa"/>
            <w:vAlign w:val="center"/>
            <w:textDirection w:val="lrTb"/>
            <w:noWrap/>
          </w:tcPr>
          <w:p>
            <w:pPr>
              <w:jc w:val="center"/>
              <w:rPr>
                <w:szCs w:val="20"/>
              </w:rPr>
            </w:pPr>
            <w:r>
              <w:rPr>
                <w:color w:val="000000"/>
              </w:rPr>
              <w:t xml:space="preserve">1643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98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0"/>
              </w:rPr>
            </w:pPr>
            <w:r>
              <w:rPr>
                <w:color w:val="000000"/>
              </w:rPr>
              <w:t xml:space="preserve">1643</w:t>
            </w:r>
            <w:r/>
          </w:p>
        </w:tc>
      </w:tr>
      <w:tr>
        <w:trPr>
          <w:trHeight w:val="30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ИЖС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18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25872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26413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1" w:type="dxa"/>
            <w:vAlign w:val="center"/>
            <w:textDirection w:val="lrTb"/>
            <w:noWrap/>
          </w:tcPr>
          <w:p>
            <w:pPr>
              <w:jc w:val="center"/>
              <w:rPr>
                <w:szCs w:val="20"/>
              </w:rPr>
            </w:pPr>
            <w:r>
              <w:rPr>
                <w:color w:val="000000"/>
              </w:rPr>
              <w:t xml:space="preserve">28660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98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0"/>
              </w:rPr>
            </w:pPr>
            <w:r>
              <w:rPr>
                <w:color w:val="000000"/>
              </w:rPr>
              <w:t xml:space="preserve">28660</w:t>
            </w:r>
            <w:r/>
          </w:p>
        </w:tc>
      </w:tr>
      <w:tr>
        <w:trPr>
          <w:trHeight w:val="30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Бюджетные организации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18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6085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6315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1" w:type="dxa"/>
            <w:vAlign w:val="center"/>
            <w:textDirection w:val="lrTb"/>
            <w:noWrap/>
          </w:tcPr>
          <w:p>
            <w:pPr>
              <w:jc w:val="center"/>
              <w:rPr>
                <w:szCs w:val="20"/>
              </w:rPr>
            </w:pPr>
            <w:r>
              <w:rPr>
                <w:color w:val="000000"/>
              </w:rPr>
              <w:t xml:space="preserve">6586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98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0"/>
              </w:rPr>
            </w:pPr>
            <w:r>
              <w:rPr>
                <w:color w:val="000000"/>
              </w:rPr>
              <w:t xml:space="preserve">6586</w:t>
            </w:r>
            <w:r/>
          </w:p>
        </w:tc>
      </w:tr>
      <w:tr>
        <w:trPr>
          <w:trHeight w:val="644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4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Административно-коммерческие здания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18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180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1" w:type="dxa"/>
            <w:vAlign w:val="center"/>
            <w:textDirection w:val="lrTb"/>
            <w:noWrap/>
          </w:tcPr>
          <w:p>
            <w:pPr>
              <w:jc w:val="center"/>
              <w:rPr>
                <w:szCs w:val="20"/>
              </w:rPr>
            </w:pPr>
            <w:r>
              <w:rPr>
                <w:color w:val="000000"/>
              </w:rPr>
              <w:t xml:space="preserve">199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98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0"/>
              </w:rPr>
            </w:pPr>
            <w:r>
              <w:rPr>
                <w:color w:val="000000"/>
              </w:rPr>
              <w:t xml:space="preserve">199</w:t>
            </w:r>
            <w:r/>
          </w:p>
        </w:tc>
      </w:tr>
      <w:tr>
        <w:trPr>
          <w:trHeight w:val="307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4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Промышленность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18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9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11" w:type="dxa"/>
            <w:vAlign w:val="center"/>
            <w:textDirection w:val="lrTb"/>
            <w:noWrap/>
          </w:tcPr>
          <w:p>
            <w:pPr>
              <w:jc w:val="center"/>
              <w:rPr>
                <w:szCs w:val="20"/>
              </w:rPr>
            </w:pPr>
            <w:r>
              <w:rPr>
                <w:color w:val="000000"/>
              </w:rPr>
              <w:t xml:space="preserve">-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98" w:type="dxa"/>
            <w:vAlign w:val="center"/>
            <w:textDirection w:val="lrTb"/>
            <w:noWrap w:val="false"/>
          </w:tcPr>
          <w:p>
            <w:pPr>
              <w:jc w:val="center"/>
              <w:rPr>
                <w:szCs w:val="20"/>
              </w:rPr>
            </w:pPr>
            <w:r>
              <w:rPr>
                <w:color w:val="000000"/>
              </w:rPr>
              <w:t xml:space="preserve">-</w:t>
            </w:r>
            <w:r/>
          </w:p>
        </w:tc>
      </w:tr>
    </w:tbl>
    <w:p>
      <w:pPr>
        <w:ind w:firstLine="619"/>
        <w:jc w:val="both"/>
        <w:spacing w:line="300" w:lineRule="auto"/>
        <w:rPr>
          <w:b/>
        </w:rPr>
      </w:pPr>
      <w:r>
        <w:rPr>
          <w:b/>
        </w:rPr>
      </w:r>
      <w:r/>
    </w:p>
    <w:p>
      <w:pPr>
        <w:ind w:firstLine="720"/>
        <w:jc w:val="both"/>
        <w:spacing w:line="300" w:lineRule="auto"/>
        <w:rPr>
          <w:sz w:val="28"/>
          <w:szCs w:val="28"/>
        </w:rPr>
      </w:pPr>
      <w:r>
        <w:rPr>
          <w:sz w:val="28"/>
          <w:szCs w:val="28"/>
        </w:rPr>
        <w:t xml:space="preserve">Информация о существующих подстанциях представлена в таблице 46.1.</w:t>
      </w:r>
      <w:r/>
    </w:p>
    <w:p>
      <w:pPr>
        <w:ind w:firstLine="617"/>
        <w:jc w:val="both"/>
        <w:spacing w:line="300" w:lineRule="auto"/>
      </w:pPr>
      <w:r/>
      <w:r/>
    </w:p>
    <w:p>
      <w:pPr>
        <w:ind w:firstLine="617"/>
        <w:jc w:val="right"/>
        <w:spacing w:line="300" w:lineRule="auto"/>
        <w:sectPr>
          <w:footnotePr/>
          <w:endnotePr/>
          <w:type w:val="nextPage"/>
          <w:pgSz w:w="11906" w:h="16838" w:orient="portrait"/>
          <w:pgMar w:top="1134" w:right="851" w:bottom="1134" w:left="1418" w:header="708" w:footer="708" w:gutter="0"/>
          <w:cols w:num="1" w:sep="0" w:space="708" w:equalWidth="1"/>
          <w:docGrid w:linePitch="360"/>
        </w:sectPr>
      </w:pPr>
      <w:r/>
      <w:r/>
    </w:p>
    <w:p>
      <w:pPr>
        <w:ind w:firstLine="722"/>
        <w:jc w:val="center"/>
        <w:spacing w:line="30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о существующих подстанциях</w:t>
      </w:r>
      <w:r/>
    </w:p>
    <w:p>
      <w:pPr>
        <w:ind w:firstLine="720"/>
        <w:jc w:val="right"/>
        <w:spacing w:line="30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46.1</w:t>
      </w:r>
      <w:r/>
    </w:p>
    <w:tbl>
      <w:tblPr>
        <w:tblW w:w="1531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1701"/>
        <w:gridCol w:w="1311"/>
        <w:gridCol w:w="1470"/>
        <w:gridCol w:w="1330"/>
        <w:gridCol w:w="1470"/>
        <w:gridCol w:w="1399"/>
        <w:gridCol w:w="1383"/>
        <w:gridCol w:w="1399"/>
        <w:gridCol w:w="1424"/>
      </w:tblGrid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242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Зона электроснабжения потребителей (Населённый пункт, микрорайон)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Номинальная мощность каждого трансформатора, кВА</w:t>
            </w:r>
            <w:r/>
          </w:p>
        </w:tc>
        <w:tc>
          <w:tcPr>
            <w:gridSpan w:val="6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363" w:type="dxa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Загрузка ПС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99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Коэффициент загрузки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4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Год ввода </w:t>
            </w:r>
            <w:r/>
          </w:p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в эксплуатацию</w:t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242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8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Р, МВт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280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Q. Мвар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278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S, МВА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9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4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</w:tr>
      <w:tr>
        <w:trPr>
          <w:trHeight w:val="30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242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ф</w:t>
            </w:r>
            <w:r>
              <w:rPr>
                <w:b/>
                <w:color w:val="000000"/>
                <w:sz w:val="18"/>
                <w:szCs w:val="18"/>
              </w:rPr>
              <w:t xml:space="preserve">актическая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7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м</w:t>
            </w:r>
            <w:r>
              <w:rPr>
                <w:b/>
                <w:color w:val="000000"/>
                <w:sz w:val="18"/>
                <w:szCs w:val="18"/>
              </w:rPr>
              <w:t xml:space="preserve">аксимальная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3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ф</w:t>
            </w:r>
            <w:r>
              <w:rPr>
                <w:b/>
                <w:color w:val="000000"/>
                <w:sz w:val="18"/>
                <w:szCs w:val="18"/>
              </w:rPr>
              <w:t xml:space="preserve">актическая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7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м</w:t>
            </w:r>
            <w:r>
              <w:rPr>
                <w:b/>
                <w:color w:val="000000"/>
                <w:sz w:val="18"/>
                <w:szCs w:val="18"/>
              </w:rPr>
              <w:t xml:space="preserve">аксимальная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99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ф</w:t>
            </w:r>
            <w:r>
              <w:rPr>
                <w:b/>
                <w:color w:val="000000"/>
                <w:sz w:val="18"/>
                <w:szCs w:val="18"/>
              </w:rPr>
              <w:t xml:space="preserve">актическая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83" w:type="dxa"/>
            <w:vAlign w:val="center"/>
            <w:textDirection w:val="lrTb"/>
            <w:noWrap w:val="false"/>
          </w:tcPr>
          <w:p>
            <w:pPr>
              <w:ind w:left="-142" w:right="-108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м</w:t>
            </w:r>
            <w:r>
              <w:rPr>
                <w:b/>
                <w:color w:val="000000"/>
                <w:sz w:val="18"/>
                <w:szCs w:val="18"/>
              </w:rPr>
              <w:t xml:space="preserve">аксимальная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39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4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242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Новостроевка, Луговка,  Масычево,  Замостье,  Доброе, Доброивановка,  Тополи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2x16000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12,39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7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16,4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3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9,91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7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9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15,87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8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20,99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9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1961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242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Гора-Подол, Козинка, Глотово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2500, 4000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7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1,854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3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0,55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7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0,61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9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1,69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8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9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1989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242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п. Хотмыжск, Горьковский, Совхозный, Доброполье, Чапаевский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2х4000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7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2,56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3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7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9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8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9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1982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242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Мощеное, Дунайка, Пороз, Мокрая Орловка, Рождественка, Сподарю</w:t>
            </w:r>
            <w:r>
              <w:rPr>
                <w:color w:val="000000"/>
                <w:sz w:val="18"/>
                <w:szCs w:val="18"/>
              </w:rPr>
              <w:t xml:space="preserve">ши</w:t>
            </w:r>
            <w:r>
              <w:rPr>
                <w:color w:val="000000"/>
                <w:sz w:val="18"/>
                <w:szCs w:val="18"/>
              </w:rPr>
              <w:t xml:space="preserve">но, Почаево, Смородино, Дроновка, Косилово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2х4000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7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2,47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3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7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9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8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9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1979</w:t>
            </w:r>
            <w:r/>
          </w:p>
        </w:tc>
      </w:tr>
      <w:tr>
        <w:trPr>
          <w:trHeight w:val="300"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W w:w="242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Лисица, Ивановская Лисица, Ломное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7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3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7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9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8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9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1994</w:t>
            </w:r>
            <w:r/>
          </w:p>
        </w:tc>
      </w:tr>
    </w:tbl>
    <w:p>
      <w:pPr>
        <w:ind w:firstLine="617"/>
        <w:jc w:val="both"/>
        <w:spacing w:line="300" w:lineRule="auto"/>
      </w:pPr>
      <w:r/>
      <w:r/>
    </w:p>
    <w:p>
      <w:pPr>
        <w:ind w:firstLine="617"/>
        <w:jc w:val="both"/>
        <w:spacing w:line="300" w:lineRule="auto"/>
      </w:pPr>
      <w:r>
        <w:t xml:space="preserve">Информация о существующих трансформаторных подстанциях</w:t>
      </w:r>
      <w:r>
        <w:t xml:space="preserve"> представлена в таблице 47.</w:t>
      </w:r>
      <w:r/>
    </w:p>
    <w:p>
      <w:r>
        <w:br w:type="page"/>
      </w:r>
      <w:r/>
    </w:p>
    <w:p>
      <w:pPr>
        <w:ind w:firstLine="722"/>
        <w:jc w:val="center"/>
        <w:spacing w:line="30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о существующих трансформаторных подстанциях</w:t>
      </w:r>
      <w:r/>
    </w:p>
    <w:p>
      <w:pPr>
        <w:ind w:firstLine="720"/>
        <w:jc w:val="right"/>
        <w:spacing w:line="30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47</w:t>
      </w:r>
      <w:r/>
    </w:p>
    <w:tbl>
      <w:tblPr>
        <w:tblW w:w="1496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3"/>
        <w:gridCol w:w="709"/>
        <w:gridCol w:w="1424"/>
        <w:gridCol w:w="1329"/>
        <w:gridCol w:w="1234"/>
        <w:gridCol w:w="815"/>
        <w:gridCol w:w="1012"/>
        <w:gridCol w:w="866"/>
        <w:gridCol w:w="1010"/>
        <w:gridCol w:w="1011"/>
        <w:gridCol w:w="1011"/>
        <w:gridCol w:w="1155"/>
        <w:gridCol w:w="1155"/>
        <w:gridCol w:w="800"/>
      </w:tblGrid>
      <w:tr>
        <w:trPr>
          <w:trHeight w:val="302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433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Наименование ТП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709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Тип 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4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Место расположения (</w:t>
            </w:r>
            <w:r>
              <w:rPr>
                <w:b/>
                <w:color w:val="000000"/>
                <w:sz w:val="18"/>
                <w:szCs w:val="18"/>
              </w:rPr>
              <w:t xml:space="preserve">н</w:t>
            </w:r>
            <w:r>
              <w:rPr>
                <w:b/>
                <w:color w:val="000000"/>
                <w:sz w:val="18"/>
                <w:szCs w:val="18"/>
              </w:rPr>
              <w:t xml:space="preserve">аселённый пункт, улица)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none" w:color="000000" w:sz="4" w:space="0"/>
            </w:tcBorders>
            <w:tcW w:w="132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Зона электроснаб</w:t>
            </w:r>
            <w:r>
              <w:rPr>
                <w:b/>
                <w:color w:val="000000"/>
                <w:sz w:val="18"/>
                <w:szCs w:val="18"/>
              </w:rPr>
              <w:t xml:space="preserve">-</w:t>
            </w:r>
            <w:r>
              <w:rPr>
                <w:b/>
                <w:color w:val="000000"/>
                <w:sz w:val="18"/>
                <w:szCs w:val="18"/>
              </w:rPr>
              <w:t xml:space="preserve">жения потребителей (наименова</w:t>
            </w:r>
            <w:r>
              <w:rPr>
                <w:b/>
                <w:color w:val="000000"/>
                <w:sz w:val="18"/>
                <w:szCs w:val="18"/>
              </w:rPr>
              <w:t xml:space="preserve">-</w:t>
            </w:r>
            <w:r>
              <w:rPr>
                <w:b/>
                <w:color w:val="000000"/>
                <w:sz w:val="18"/>
                <w:szCs w:val="18"/>
              </w:rPr>
              <w:t xml:space="preserve">ние улиц, номера домов)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123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Номиналь-ная мощность каждого трансформатора, кВА</w:t>
            </w:r>
            <w:r/>
          </w:p>
        </w:tc>
        <w:tc>
          <w:tcPr>
            <w:gridSpan w:val="6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25" w:type="dxa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Загрузка ТП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155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Коэф</w:t>
            </w:r>
            <w:r>
              <w:rPr>
                <w:b/>
                <w:color w:val="000000"/>
                <w:sz w:val="18"/>
                <w:szCs w:val="18"/>
              </w:rPr>
              <w:t xml:space="preserve">-</w:t>
            </w:r>
            <w:r>
              <w:rPr>
                <w:b/>
                <w:color w:val="000000"/>
                <w:sz w:val="18"/>
                <w:szCs w:val="18"/>
              </w:rPr>
              <w:t xml:space="preserve">фициент загрузки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15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Год ввода в эксплуата</w:t>
            </w:r>
            <w:r>
              <w:rPr>
                <w:b/>
                <w:color w:val="000000"/>
                <w:sz w:val="18"/>
                <w:szCs w:val="18"/>
              </w:rPr>
              <w:t xml:space="preserve">-</w:t>
            </w:r>
            <w:r>
              <w:rPr>
                <w:b/>
                <w:color w:val="000000"/>
                <w:sz w:val="18"/>
                <w:szCs w:val="18"/>
              </w:rPr>
              <w:t xml:space="preserve">цию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800" w:type="dxa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Износ, %</w:t>
            </w:r>
            <w:r/>
          </w:p>
        </w:tc>
      </w:tr>
      <w:tr>
        <w:trPr>
          <w:trHeight w:val="155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43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4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none" w:color="000000" w:sz="4" w:space="0"/>
            </w:tcBorders>
            <w:tcW w:w="132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123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2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Р, МВт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87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Q. Мвар</w:t>
            </w:r>
            <w:r/>
          </w:p>
        </w:tc>
        <w:tc>
          <w:tcPr>
            <w:gridSpan w:val="2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202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S, МВА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15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15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8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</w:tr>
      <w:tr>
        <w:trPr>
          <w:trHeight w:val="952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43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4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none" w:color="000000" w:sz="4" w:space="0"/>
            </w:tcBorders>
            <w:tcW w:w="132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W w:w="123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 w:val="false"/>
          </w:tcPr>
          <w:p>
            <w:pPr>
              <w:ind w:left="-88" w:right="-16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ф</w:t>
            </w:r>
            <w:r>
              <w:rPr>
                <w:b/>
                <w:color w:val="000000"/>
                <w:sz w:val="18"/>
                <w:szCs w:val="18"/>
              </w:rPr>
              <w:t xml:space="preserve">акти</w:t>
            </w:r>
            <w:r>
              <w:rPr>
                <w:b/>
                <w:color w:val="000000"/>
                <w:sz w:val="18"/>
                <w:szCs w:val="18"/>
              </w:rPr>
              <w:t xml:space="preserve">-</w:t>
            </w:r>
            <w:r>
              <w:rPr>
                <w:b/>
                <w:color w:val="000000"/>
                <w:sz w:val="18"/>
                <w:szCs w:val="18"/>
              </w:rPr>
              <w:t xml:space="preserve">ческая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м</w:t>
            </w:r>
            <w:r>
              <w:rPr>
                <w:b/>
                <w:color w:val="000000"/>
                <w:sz w:val="18"/>
                <w:szCs w:val="18"/>
              </w:rPr>
              <w:t xml:space="preserve">акси</w:t>
            </w:r>
            <w:r>
              <w:rPr>
                <w:b/>
                <w:color w:val="000000"/>
                <w:sz w:val="18"/>
                <w:szCs w:val="18"/>
              </w:rPr>
              <w:t xml:space="preserve">-</w:t>
            </w:r>
            <w:r>
              <w:rPr>
                <w:b/>
                <w:color w:val="000000"/>
                <w:sz w:val="18"/>
                <w:szCs w:val="18"/>
              </w:rPr>
              <w:t xml:space="preserve">мальная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ф</w:t>
            </w:r>
            <w:r>
              <w:rPr>
                <w:b/>
                <w:color w:val="000000"/>
                <w:sz w:val="18"/>
                <w:szCs w:val="18"/>
              </w:rPr>
              <w:t xml:space="preserve">акти</w:t>
            </w:r>
            <w:r>
              <w:rPr>
                <w:b/>
                <w:color w:val="000000"/>
                <w:sz w:val="18"/>
                <w:szCs w:val="18"/>
              </w:rPr>
              <w:t xml:space="preserve">-</w:t>
            </w:r>
            <w:r>
              <w:rPr>
                <w:b/>
                <w:color w:val="000000"/>
                <w:sz w:val="18"/>
                <w:szCs w:val="18"/>
              </w:rPr>
              <w:t xml:space="preserve">ческая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м</w:t>
            </w:r>
            <w:r>
              <w:rPr>
                <w:b/>
                <w:color w:val="000000"/>
                <w:sz w:val="18"/>
                <w:szCs w:val="18"/>
              </w:rPr>
              <w:t xml:space="preserve">акси</w:t>
            </w:r>
            <w:r>
              <w:rPr>
                <w:b/>
                <w:color w:val="000000"/>
                <w:sz w:val="18"/>
                <w:szCs w:val="18"/>
              </w:rPr>
              <w:t xml:space="preserve">-</w:t>
            </w:r>
            <w:r>
              <w:rPr>
                <w:b/>
                <w:color w:val="000000"/>
                <w:sz w:val="18"/>
                <w:szCs w:val="18"/>
              </w:rPr>
              <w:t xml:space="preserve">мальная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ф</w:t>
            </w:r>
            <w:r>
              <w:rPr>
                <w:b/>
                <w:color w:val="000000"/>
                <w:sz w:val="18"/>
                <w:szCs w:val="18"/>
              </w:rPr>
              <w:t xml:space="preserve">акти</w:t>
            </w:r>
            <w:r>
              <w:rPr>
                <w:b/>
                <w:color w:val="000000"/>
                <w:sz w:val="18"/>
                <w:szCs w:val="18"/>
              </w:rPr>
              <w:t xml:space="preserve">-</w:t>
            </w:r>
            <w:r>
              <w:rPr>
                <w:b/>
                <w:color w:val="000000"/>
                <w:sz w:val="18"/>
                <w:szCs w:val="18"/>
              </w:rPr>
              <w:t xml:space="preserve">ческая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м</w:t>
            </w:r>
            <w:r>
              <w:rPr>
                <w:b/>
                <w:color w:val="000000"/>
                <w:sz w:val="18"/>
                <w:szCs w:val="18"/>
              </w:rPr>
              <w:t xml:space="preserve">акси</w:t>
            </w:r>
            <w:r>
              <w:rPr>
                <w:b/>
                <w:color w:val="000000"/>
                <w:sz w:val="18"/>
                <w:szCs w:val="18"/>
              </w:rPr>
              <w:t xml:space="preserve">-</w:t>
            </w:r>
            <w:r>
              <w:rPr>
                <w:b/>
                <w:color w:val="000000"/>
                <w:sz w:val="18"/>
                <w:szCs w:val="18"/>
              </w:rPr>
              <w:t xml:space="preserve">мальная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15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115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tcW w:w="8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Луначарского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Луначарского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30.05.1968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92,51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90,33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Большевиков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Большевиков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01.05.1980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83,07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Кирвера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Кирвера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20.08.1970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93,38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Народная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Народная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95,24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10.08.1975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95,16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10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Луначарского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Луначарского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18.11.1995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89,18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11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Заводская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Заводская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05.05.1979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95,24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13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Шухова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Шухова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12.10.1985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91,31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15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24.04.1978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89,18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16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15.10.1989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89,18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23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02.06.1996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89,74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104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</w:t>
            </w:r>
            <w:r>
              <w:rPr>
                <w:color w:val="000000"/>
                <w:sz w:val="18"/>
                <w:szCs w:val="18"/>
              </w:rPr>
              <w:t xml:space="preserve">Подол, ул. Советская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Гора-П</w:t>
            </w:r>
            <w:r>
              <w:rPr>
                <w:color w:val="000000"/>
                <w:sz w:val="18"/>
                <w:szCs w:val="18"/>
              </w:rPr>
              <w:t xml:space="preserve">одол,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Советская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503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</w:t>
            </w:r>
            <w:r>
              <w:rPr>
                <w:color w:val="000000"/>
                <w:sz w:val="18"/>
                <w:szCs w:val="18"/>
              </w:rPr>
              <w:t xml:space="preserve">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20.07.1985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89,52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412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Карла Маркса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Карла Маркса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94,98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414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Сумская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Сумская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25.08.1990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95,46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411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18.08.1994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78,93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305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Выгон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Выгон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16.09.1995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80,76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14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Комсомольская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Комсомольс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88,35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214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Горьковский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Горьковский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94,23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25.05.1983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91,02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31.08.2015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33,31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Доброе, ул. Грайворонская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Доброе, ул. 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07.06.1986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95,29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Набережная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Набережная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05.02.1977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108 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Грайворонская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13.03.1966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90,48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 (карьер)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 (карьер)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10.02.1966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87,1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Доброивановка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Доброиванов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05.10.1966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67,89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Тополи,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Головчанская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Тополи,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Головчанская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10.04.1974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88,35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>
              <w:rPr>
                <w:color w:val="000000"/>
                <w:sz w:val="18"/>
                <w:szCs w:val="18"/>
              </w:rPr>
              <w:t xml:space="preserve">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Чехова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ул. Чехова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0,58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11.11.2003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67,89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Букетовская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Букетовская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04.03.1986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91,53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Доброиванов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Октябрьская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Доброиванов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Октябрьская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24.04.1986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95,22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119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Луговая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ул. Луговая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04.07.1988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93,45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120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Грайворонская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12.02.1997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93,45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203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Луговка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Луговка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95,82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07.10.2003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62,92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Луговка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Луговка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05.07.1984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40,07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</w:t>
            </w:r>
            <w:r>
              <w:rPr>
                <w:color w:val="000000"/>
                <w:sz w:val="18"/>
                <w:szCs w:val="18"/>
              </w:rPr>
              <w:t xml:space="preserve">Подол, ул. Борисенко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Борисенко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10.08.1977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90,38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</w:t>
            </w:r>
            <w:r>
              <w:rPr>
                <w:color w:val="000000"/>
                <w:sz w:val="18"/>
                <w:szCs w:val="18"/>
              </w:rPr>
              <w:t xml:space="preserve">Подол, ул. Юных Партизан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Юных Партизан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25.09.2010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48,37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523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Грайворонская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15.04.1988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34,37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525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03.08.1977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526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</w:t>
            </w:r>
            <w:r>
              <w:rPr>
                <w:color w:val="000000"/>
                <w:sz w:val="18"/>
                <w:szCs w:val="18"/>
              </w:rPr>
              <w:t xml:space="preserve">Подол, ул. Советская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Советская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03.08.1987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530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</w:t>
            </w:r>
            <w:r>
              <w:rPr>
                <w:color w:val="000000"/>
                <w:sz w:val="18"/>
                <w:szCs w:val="18"/>
              </w:rPr>
              <w:t xml:space="preserve">Подол, ул. Парковая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Парковая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07.09.1981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89,69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540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Урицкого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Урицкого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27.09.1995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80,76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802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03.05.1999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94,59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805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Советская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Советская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08.06.1985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89,85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809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30.03.2009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803 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II, ул. Народная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II, ул. Народная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13.07.2001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89,69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904 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82,42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905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 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 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07.08.1985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65,22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901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04.09.1978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96,07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Народная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Народная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18.04.1977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96,43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Октябрьская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Октябрьская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08.04.1977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69,88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Доброполье, ул. Урожайная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Доброполье, ул. Урожайная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15.06.1964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96,3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911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08.04.1995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88,35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301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92,06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902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94,59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Шухова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Шухова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05.05.1989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122 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Дорогощанская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ул. Дорогощанс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60,47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Народная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Народная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12.04.1997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79,15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04.10.1999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79,15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Красноармейс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Красноармейс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01.11.2014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Кирова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ул. Кирова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19.06.1989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94,59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Сумская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Сумская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Молодежная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Молодежная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16.09.1983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94,23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308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Партизанская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Партизанская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30.11.2014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309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Выгон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Выгон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15.05.2011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45,87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311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Хлебная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Хлебная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14.10.1979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94,59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312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Борисовка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Борисовка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25.04.1979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94,59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313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Горная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Горная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26.06.1980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94,23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314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Лантуховка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Лантуховка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85,8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315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Лантуховка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Лантуховка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15.07.1987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91,53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316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Дроновка, ул. Колхозная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Дроновка, ул. Колхозная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15.09.1978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94,93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317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Дроновка, ул. Сумская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Дроновка, ул. Сумская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91,53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МТП 318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Набережная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ул. Набережная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01.04.1973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95,29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319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Ленина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ул. Ленина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96,11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320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Кирова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ул. Кирова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86,68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321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Трудовая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ул. Трудовая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88,28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323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Горная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Смородино, ул. Горная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28.05.1977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82,88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324 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Дроновка, ул. Сумская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Дроновка, ул. Сумская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15.05.1978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89,85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326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Дроновка, ул. Сумская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Дроновка, ул. Сумская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90,98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327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Молодежная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ул. Молодежная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16.07.1988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95,54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328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Колхозная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ул. Колхозная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17.07.1984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96,39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329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ул. Кирова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ул. Кирова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07.06.1988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89,06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01.11.1991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Сподарюшино, ул. Сумская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Сподарюши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но,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Сумская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20.07.1977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95,06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410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Набережная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Набережная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01.11.2014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Молодежная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Молодежная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94,56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Санково,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Горняка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Санково, ул. Горняка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40,68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1005(504) 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Новая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Новая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01.05.1964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89,69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1007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ТМГСУ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Зубревка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Зубревка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15.01.1975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42,88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Санково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Санково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15.01.1975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89,69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1002(507) 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ТМГСУ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Горянка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Горянка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31.12.2012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42,55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1004(508) 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ТСМА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Кочуковка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Кочуковка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93,52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1008(510) 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Кончанка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Кончанка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18.06.1975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96,74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1010(512) 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Кончанка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Кончанка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18.06.1975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82,04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Санково,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Мячиновка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Санково, ул. Мячиновка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08.07.1975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91,07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Советская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Советская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01.07.2006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60,47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20.07.1977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49,19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Мощеное, ул. Пограничная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Мощеное, ул. Пограничная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20.05.1965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94,98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Дунайка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Дунайка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21.04.1963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605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Дунайка,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Школьная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Дунайка, ул. Школьная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19.07.1963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82,52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Дунайка,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</w:t>
            </w:r>
            <w:r>
              <w:rPr>
                <w:color w:val="000000"/>
                <w:sz w:val="18"/>
                <w:szCs w:val="18"/>
              </w:rPr>
              <w:t xml:space="preserve">л. Заречная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Дунайка, ул. Заречная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25.04.1981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96,3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607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Мощеное, ул. Хутор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Мощеное, ул. Хутор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25.04.1976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89,01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609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Пороз,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Загородинка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Пороз,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Загородинка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92,51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610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Пороз,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Слободка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Пороз,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Слободка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88,35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611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TTU-AI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Пороз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Пороз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18.07.1979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91,07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612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ТМГэ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30.11.2014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26,97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МТП 613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Рождественка, ул. Колхозная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Рождествен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Колхозная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93,85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614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ТМГСУ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Рождественка, ул. Советская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Рождествен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Советская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18.07.1988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42,25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615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Дунайка,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Степановка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Дунайка, ул. Степановка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94,73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617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Грайворонская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30.10.2014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35,41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618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18.07.1981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92,06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621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Дунайка,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Пятихатки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Дунайка, ул. Пятихатки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64,08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619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01.01.2002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91,49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</w:t>
            </w:r>
            <w:r>
              <w:rPr>
                <w:color w:val="000000"/>
                <w:sz w:val="18"/>
                <w:szCs w:val="18"/>
              </w:rPr>
              <w:t xml:space="preserve">Подол, ул. Заводская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</w:t>
            </w:r>
            <w:r>
              <w:rPr>
                <w:color w:val="000000"/>
                <w:sz w:val="18"/>
                <w:szCs w:val="18"/>
              </w:rPr>
              <w:t xml:space="preserve">Подол,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Заводская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15.07.1986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90,38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</w:t>
            </w:r>
            <w:r>
              <w:rPr>
                <w:color w:val="000000"/>
                <w:sz w:val="18"/>
                <w:szCs w:val="18"/>
              </w:rPr>
              <w:t xml:space="preserve">Подол, ул. Борисенко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Борисенко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94,93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Подол, ул. Садовая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Садовая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Подол, ул. Заводская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Заводская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95,22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91,89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211 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Глотово,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Генерала Алексеенко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Глотово,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Генерала Алексеенко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95,29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309 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</w:t>
            </w:r>
            <w:r>
              <w:rPr>
                <w:color w:val="000000"/>
                <w:sz w:val="18"/>
                <w:szCs w:val="18"/>
              </w:rPr>
              <w:t xml:space="preserve">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10.04.1984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86,68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Заречье-Второе,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Земной Рай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Заречье-Второе,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Земной Рай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05.06.1999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75,14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507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 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Заречье-Первое,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Корешник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Заречье-Первое,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Корешник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15.08.1964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95,24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Заречье-Второе,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Земной Рай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Заречье-Второе,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Земной Рай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12.05.1999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509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Республиканс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Республиканс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16.08.1973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92,51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Строительная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Строительная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18.06.1973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86,17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Глотово,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Генерала Алексеенко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Глотово,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</w:t>
            </w:r>
            <w:r>
              <w:rPr>
                <w:color w:val="000000"/>
                <w:sz w:val="18"/>
                <w:szCs w:val="18"/>
              </w:rPr>
              <w:t xml:space="preserve">л. Генерала Алексеенко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08.10.1974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62,92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Заречье-Первое,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Лаптивка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Заречье-Первое,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Лаптивка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10.05.1986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48,11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520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Глотово,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Дружбы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Глотово,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Дружбы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39,1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321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Глотово,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Братьев Краснокутских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Глотово,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Братьев Краснокутс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ких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10.05.1985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65,77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522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Заречье-Первое,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Корешник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Заречье-Первое,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Корешник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13.06.1985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72,2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534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Грайворонская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16.09.1985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90,22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535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Просёлочная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Просёлочная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12.05.1988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93,41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536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Мира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Мира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19.07.1999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96,18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Комсомольская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Комсомольс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93,45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Комсомольская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Комсомольс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88,35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104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ТМГСУ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Комсомольская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Комсомольс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13.11.2012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40,68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105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Садовая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Садовая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12.06.1974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95,24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Октябрьская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Октябрьская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05.10.1974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93,85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93,92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Советская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Советская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01.02.2001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93,52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01.10.1978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87,71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Ленина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Ленина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01.03.1976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90,98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07.08.2001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67,89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Каз.Лисица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Ломное,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Новосёловка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Ломное,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Новосёловка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Каз.Лисица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Ломное,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Чапаева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Ломное,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Чапаева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ТСМА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07.06.1975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97,18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Карла Маркса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Карла Маркса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10.09.2009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54,58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Куйбышева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Куйбышева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03.08.1977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92,14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ул. Карла Маркса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Карла Маркса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03.08.1977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95,51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402 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Лисица, ул. 40 лет Октября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Лисица, ул. 40 лет Октября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15.04.1975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90,33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18.03.1976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ТСМА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Казачья Лисица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14.02.1985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93,92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Чапаева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Чапаева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15.06.1980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94,23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Мира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Мира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10.01.1978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89,74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Ленина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Ленина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05.04.1989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95,83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15.05.1989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86,75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Советская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Советская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0,51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16.06.1968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93,85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3Tm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17.07.1964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95,58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Шевченко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Шевченко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16.05.1964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38,75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17.06.1988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42,88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10.05.1987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89,74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17.06.1970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90,33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05.07.1979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Колхозная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Колхозная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03.05.1964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96,79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Пролетарская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Пролетарская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15.07.1964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94,59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120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Жукова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Жукова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16.07.1988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87,57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121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15.05.1998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77,89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Горьковский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Горьковский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87,51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203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Чапаевский, 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Чапаевский, 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16,14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Чапаевский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Чапаевский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89,69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Чапаевский, 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Чапаевский, 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91,63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Чапаевский, 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Чапаевский, 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86,75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Казачок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Казачок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06.12.2000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93,45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210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01.06.1981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90,98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211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ТТО-АА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Совхозный, ул. Широкая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Совхозный, ул. Широкая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90,48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212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Горьковский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Горьковский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01.06.1982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95,79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213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Горьковский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Горьковский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83,94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89,18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Харьковская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Харьковская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89,74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Харьковская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Харьковская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0,52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Новостроевка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Новостроевка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89,85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Антоновка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Антоновка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90,98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Карла Маркса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Карла Маркса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93,92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Максима Горького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Максима Горького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33,31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123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Пушкина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Пушкина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90,17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Ленина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Ленина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95,58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413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Красноармейс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Красноармейс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81,95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415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Харьковская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Харьковская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24,64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416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Лесная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Лесная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92,06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Хотмыжск,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Гагарина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Хотмыжск, ул. Гагарина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20.05.2005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63,29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505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Хотмыжск,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Урожайная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Хотмыжск, ул. Урожайная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01.10.1987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95,22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ТМГэ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01.05.1999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10,6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29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Горького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Горького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01.01.2006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62,51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Дорогощанская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ул. Дорогощанс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Глотово,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Дружбы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Глотово,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Дружбы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31.03.2009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94,39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Карла Маркса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Карла Маркса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30.06.2007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90,88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01.02.2003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46,42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215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Парковая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Парковая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01.01.2008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96,11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12.06.1965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89,74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08.10.2003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65,22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15.01.2003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71,29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Новостроевка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Новостроевка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24.11.2000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73,5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Луговка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Луговка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89,18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Хотмыжск,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Урожайная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пос. Хотмыжск, ул. Урожайная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95,24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Школьная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Школьная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96,79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01.01.1975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93,05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Ломное,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Сургутская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Ломное,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Сургутская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01.04.1998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81,75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810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56,48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01.01.1973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97,67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27.08.2001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46,42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01.01.1991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83,86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620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Дунайка,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Гостовка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Дунайка, ул. Гостовка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01.01.1989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94,59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521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Молодежная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Молодежная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91,63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1013(513) 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30.04.2009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93,85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TTU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ул. Чехова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ул. Чехова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55,78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18.04.1995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91,49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1011(516) 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01.06.1977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96,96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322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Ленина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Почаево, ул. Ленина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15.07.1985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89,69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417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Кравченко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Кравченко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01.01.2005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95,03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121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Чехова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ул. Чехова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0,46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15.04.2003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92,18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28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TON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Мира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04.10.1999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86,75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Таршикова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Таршикова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01.01.1978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93,92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412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30.11.2014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204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х. Масычево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х. Масычево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92,35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Ломное,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Сургутская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Ломное,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Сургутская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04.07.2001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81,75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12.07.1990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86,03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213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ОМП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31.03.1996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83,94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1120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Народная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Народная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89,69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701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31.08.2006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703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31.08.2006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702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01.07.2006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1121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Ленина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31.08.2006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60,47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30.10.2006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413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Молодежная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Молодежная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16.07.1985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89,69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414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16.07.1985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89,69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212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25.04.1998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63,51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Первомайская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Первомайская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01.07.1979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80,56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МТП 110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Доброиванов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Колхозная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Доброиванов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Колхозная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07.05.1997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94,93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МТП 118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TON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Карла Маркса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Карла Маркса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18.08.1970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94,59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МТП 305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10.06.1986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89,69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214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90,93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322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Глотово,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Полевая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Глотово,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Полевая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01.05.1964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93,88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215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01.06.1964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89,01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210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25.04.1995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90,98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1006 (506) 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01.07.1984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93,45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88,47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ЗТП 216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10.06.1988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91,63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622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18.04.1995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80,56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203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ОМП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01.06.1993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83,94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529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10.10.1976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50,25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Безымено, ул. Октябрьская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01.07.1983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93,92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30.04.2008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54,58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31.01.2007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20.07.2006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29.06.2007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01.01.1971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01.07.2006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60,03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Замостье, 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13.03.1968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93,45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704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31.10.2007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58,09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123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20.11.2008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88,35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419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Антоновка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Антоновка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01.01.1967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93,41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28.10.2009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54,34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325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01.07.2010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92,63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Капитана Колесникова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Капитана Колесникова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30.06.2010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52,59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505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Республиканс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Республиканс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28.02.2011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79,37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ТМГСУ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 Писаревская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</w:t>
            </w:r>
            <w:r>
              <w:rPr>
                <w:color w:val="000000"/>
                <w:sz w:val="18"/>
                <w:szCs w:val="18"/>
              </w:rPr>
              <w:t xml:space="preserve">.</w:t>
            </w:r>
            <w:r>
              <w:rPr>
                <w:color w:val="000000"/>
                <w:sz w:val="18"/>
                <w:szCs w:val="18"/>
              </w:rPr>
              <w:t xml:space="preserve"> Писаревская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30.09.2010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48,93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Центральная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Центральная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30.09.2010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48,67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1009(515) 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Кончанка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Кончанка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31.12.2010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47,54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1012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(516-N)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ТМГСУ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Большой Лог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Большой Лог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20.01.2011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49,74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хознужды 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21.08.1997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77,66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404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30.04.2011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46,42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623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ул.Набережная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ул.Набереж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06.06.2011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43,46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15.11.2011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44,96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15.11.2011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44,39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1003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15.11.2011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44,39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1201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15.11.2011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44,39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626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Пороз,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Горка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Пороз,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Горка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15.11.2011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44,39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332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Садовая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Садовая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01.11.2014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Школьная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Школьная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31.01.2012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42,88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624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1,25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31.12.2011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44,07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124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Грайворонская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Доброе,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500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01.09.2012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41,32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Луначарского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Луначарского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31.12.2012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40,38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100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Кузнецова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Кузнецова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800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31.12.2012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40,38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114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Казачья 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ТМГСУ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Комсомольская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Ивановская Лисица,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Комсомольс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30.11.2012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40,68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</w:t>
            </w:r>
            <w:r>
              <w:rPr>
                <w:color w:val="000000"/>
                <w:sz w:val="18"/>
                <w:szCs w:val="18"/>
              </w:rPr>
              <w:t xml:space="preserve">ТП 310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Гора-П</w:t>
            </w:r>
            <w:r>
              <w:rPr>
                <w:color w:val="000000"/>
                <w:sz w:val="18"/>
                <w:szCs w:val="18"/>
              </w:rPr>
              <w:t xml:space="preserve">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Республиканс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Козинка, ул. Республиканс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30.04.2014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909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30.04.2014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39,1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30.11.2014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42,88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Каз.Лисица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Ломное,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Пролетарская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Ломное,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Пролетарская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25.10.2014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39,1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912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30.09.2014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39,1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333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Лесная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Дорогощь, ул. Лесная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30.09.2014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39,1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531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Февральская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Февральская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01.12.2014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ТМГэ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Народная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Народная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30.11.2014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10,6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532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Шухова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Шухова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31.12.2014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420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Гвардейская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Гвардейская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01.05.2014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625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Рождественка, ул. Колхозная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Рождествен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Колхозная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30.11.2012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42,88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30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Цветочная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Цветочная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31.08.2015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Цветочная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Цветочная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31.08.2015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35,08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ТСМА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Холодная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Холодная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24.11.2015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97,22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Шухова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Шухова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30.11.2015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28,54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СТП-1014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Заречная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Заречная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31.12.2012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42,25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СТП-1016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Зубревка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Косилово, ул. Зубревка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31.12.2012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42,25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- 503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06.07.2016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26,21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- 202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Гора-</w:t>
            </w:r>
            <w:r>
              <w:rPr>
                <w:color w:val="000000"/>
                <w:sz w:val="18"/>
                <w:szCs w:val="18"/>
              </w:rPr>
              <w:t xml:space="preserve">Подол, ул. Кирпичный Завод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Кирпичный Завод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06.07.2016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26,21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627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Мощеное, ул. Мищанка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Мощеное, ул. Мищанка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31.08.2016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27,39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Безымено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31.08.2016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26,97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КТП-125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Замостье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30.09.2016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26,21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Комсомольская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Комсомольс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30.09.2016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26,21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21.09.2016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26,21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217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М.А. Букина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Головчино, ул. М.А. Букина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01.12.2016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22,98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19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Первомайская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Первомайская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20.03.2017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21,34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533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Шухова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Шухова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23.06.2017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21,74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306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17.07.2017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20,07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801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27.07.2017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20,07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207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25.10.2017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18,78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507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31.12.2017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21,34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628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Пороз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Пороз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01.06.2018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31,14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415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Мощеное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Мощеное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31.12.2018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16,14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311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21.03.2019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10,6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516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Гора-Подол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Гора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Подол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21.03.2019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10,6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911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01.08.2019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10,6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906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ТМГэ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Народная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Новостроевка II,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Народная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160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22.11.2019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10,06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124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Грайворонский городской округ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Грайворонс</w:t>
            </w: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  <w:t xml:space="preserve">кий городской округ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24.12.2019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10,6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СТП - 543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ТМГэ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20.10.2020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</w:t>
            </w:r>
            <w:r/>
          </w:p>
        </w:tc>
      </w:tr>
      <w:tr>
        <w:trPr>
          <w:trHeight w:val="302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33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КТП 608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2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Пороз,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Погореловка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329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Пороз, </w:t>
            </w:r>
            <w:r/>
          </w:p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Погореловка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000000" w:sz="4" w:space="0"/>
            </w:tcBorders>
            <w:tcW w:w="1234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1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2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66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11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0,11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155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28.07.2015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00" w:type="dxa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70,14</w:t>
            </w:r>
            <w:r/>
          </w:p>
        </w:tc>
      </w:tr>
    </w:tbl>
    <w:p>
      <w:pPr>
        <w:ind w:firstLine="617"/>
        <w:jc w:val="both"/>
        <w:spacing w:line="300" w:lineRule="auto"/>
      </w:pPr>
      <w:r/>
      <w:r/>
    </w:p>
    <w:p>
      <w:pPr>
        <w:ind w:firstLine="720"/>
        <w:jc w:val="both"/>
        <w:spacing w:line="300" w:lineRule="auto"/>
        <w:rPr>
          <w:sz w:val="28"/>
          <w:szCs w:val="28"/>
        </w:rPr>
      </w:pPr>
      <w:r>
        <w:rPr>
          <w:sz w:val="28"/>
          <w:szCs w:val="28"/>
        </w:rPr>
        <w:t xml:space="preserve">Информация о существующих линиях электропередач представлена в таблице 48.</w:t>
      </w:r>
      <w:r/>
    </w:p>
    <w:p>
      <w:pPr>
        <w:ind w:firstLine="720"/>
        <w:jc w:val="both"/>
        <w:spacing w:line="30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22"/>
        <w:jc w:val="center"/>
        <w:spacing w:line="30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о существующих линиях электропередач</w:t>
      </w:r>
      <w:r/>
    </w:p>
    <w:p>
      <w:pPr>
        <w:ind w:firstLine="722"/>
        <w:jc w:val="center"/>
        <w:spacing w:line="30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20"/>
        <w:jc w:val="right"/>
        <w:spacing w:line="30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48</w:t>
      </w:r>
      <w:r/>
    </w:p>
    <w:p>
      <w:pPr>
        <w:ind w:firstLine="720"/>
        <w:jc w:val="right"/>
        <w:spacing w:line="30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59"/>
        <w:gridCol w:w="1381"/>
        <w:gridCol w:w="1760"/>
        <w:gridCol w:w="1032"/>
        <w:gridCol w:w="1780"/>
        <w:gridCol w:w="1189"/>
        <w:gridCol w:w="1955"/>
        <w:gridCol w:w="1896"/>
      </w:tblGrid>
      <w:tr>
        <w:trPr>
          <w:jc w:val="center"/>
          <w:trHeight w:val="20"/>
          <w:tblHeader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№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Наименование ЛЭП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Тип, сечение провода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Класс напряжения, кВ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Сила тока, А</w:t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Протяженность ЛЭП,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Износ, %</w:t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Год ввода в эксплуатацию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 w:val="false"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Способ прокладки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№1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СИП3 1х70, АС-35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26,913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№2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СИП3 1х70, 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АС-50, АС-70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18,370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№4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СИП3 1х70, АС-95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10,015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№5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СИП3 1х70, 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АС-95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15,371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№7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АС-95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8,997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№8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СИП3 1х70, 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21,913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№9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СИП3 1х70, 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18,097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№11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СИП3 1х70, 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2,455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Город 1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5,010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Город 2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СИП3 1х70, 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9,158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Город 3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СИП3 1х70, 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10,404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№1 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5,887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№2 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СИП3 1х70, 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22,527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№3 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12,549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№4 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СИП3 1х70, 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20,079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№5 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СИП3 1х70, 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23,542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01.01.2000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№3 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43,710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№4 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СИП3 1х70, 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29,093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№5 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4,214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№6 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36,099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№1 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27,674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№2 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18,332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№3 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№4 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12,421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№5 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18,714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№1 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14,982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№2 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11,782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№3 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3,787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№4 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2,762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№7 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17,105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10.08.2006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Маслозавод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10.02.1966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№8 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9,212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10.08.2006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№9 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23,794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10.08.2006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№10 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38,077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10.08.2006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Хоз.Нужды РЭС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АС-35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10.10.2001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№10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АС-95,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АС-70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4,985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25.11.2011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10 №12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АС-50,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АС-70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6,933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25.11.2011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ВЛ-10кВ №1 Полигон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АС-70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0,059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ВЛ-10кВ №2 Полигон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АС-70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0,013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ВЛ-10кВ №3 Полигон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АС-70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0,013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10кВ ЗТП 15 - ЗТП 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ААБл-3*150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30.05.2005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10кВ ЗТП 16 - ЗТП 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ААБл-3*150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10кВ ЗТП 8 - ЗТП 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ААБл-3*150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05.09.1997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10кВ ЗТП 8 - ЗТП 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ААБл-3*150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0,565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 кВ ЗТП 15 - ЗТП 29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 3*240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25.09.2007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10кВ ЗТП 14 - ЗТП 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ААБл-3*150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0,565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10кВ КТП 909 - КТП 910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 3*240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0,709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31.03.2014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 кВ КТП 519 - КТП 507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 3*240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0,386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10кВ ПС Грайворон КТП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4- ЗТП 29 ПС Гр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 3*240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0,547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10кВ КТП4 ПС Грайворон -ЗТП 14 ПС Гра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 3*240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0,447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КЛ-10 кВ ЗТП-2 -ЗТП 1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ААБл-3*150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10кВ КТП 30 до КТП 31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 3*240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0,423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10кВ Город 2 КТП 31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 3*240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0,338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10кВ Город 2 КТП 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 3*240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0,576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10кВ ВЛ 10кВ №5 - КТП-532 ПС Грайворо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 3*240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0,054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 кВ КТП 531 - КТП 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 3*240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0,298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10 кВ № 1 ЗТП 16 - КТП 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ААБл 3*240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1,198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№4 КТП 1121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0,764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02.06.2008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КТП 303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1,918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01.10.2009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303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0,898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01.10.2009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303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1,046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01.10.2009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419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0,544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104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0,258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104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404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1,258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212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ПС Головчино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0,434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01.09.1979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534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304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Г.Подол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1,142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№5 КТП 1121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№6 КТП 1121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04.09.2010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25.06.2011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114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1009 (515)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05.02.2009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20.05.1989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405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01.10.2010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1,097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КТП №18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1,287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№4 КТП 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105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1,909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27.02.2008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0,297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0,821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30.04.2014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1,051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0,261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01.08.1979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0,716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124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1,187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124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1,304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2,998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01.08.1979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20.03.1996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1,589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1,417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2,156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1,067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20.03.1993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0,578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20.03.1998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20.03.1993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1,796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120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1,472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12.02.1997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120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12.02.1997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0,577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2,046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01.10.1994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523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0,932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525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1,314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526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1,626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526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1,538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530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1,134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530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802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1,099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20.03.1989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802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0,926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22.05.1998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802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1,835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20.03.1995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805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0,609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805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809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04.04.2012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809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04.04.2012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803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902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0,513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ЗТП 902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0,443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810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1,523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904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1,067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12.05.1979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904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0,914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905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0,863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905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01.09.1972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907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1,447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908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0,399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08.04.1977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909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08.04.1973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909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0,539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18.09.1977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909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0,191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18.10.1977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911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0,331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17.06.1975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911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1,241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17.07.1975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208 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1,104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208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01.11.1993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1,389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1,101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Гора-П</w:t>
            </w:r>
            <w:r>
              <w:rPr>
                <w:color w:val="000000"/>
                <w:sz w:val="20"/>
                <w:szCs w:val="20"/>
              </w:rPr>
              <w:t xml:space="preserve">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1,980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10.12.2008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1,750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0,609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1,596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04.06.1987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04.06.1987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1,765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2,550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1,034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01.04.1992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1,622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05.05.1989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1,176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05.08.1989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120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1,106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120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0,792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1,418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2,268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20.05.1986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2,414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ЗТП 100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0,673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100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0,891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КТП 105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01.10.2006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104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104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1,094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0,936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107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108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0,746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109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1,056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02.04.2011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0,711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30.04.2011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31.05.2011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20.05.1985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0,191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0,191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01.11.1979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114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1,287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0,986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0,882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0,401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МТП 118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1,306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МТП 118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1,422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1,139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0,917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1,488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1,344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2,140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01.05.1989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0,609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1,171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0,187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0,437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0,191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25.01.1998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0,341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25.01.1998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0,329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1,412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0,702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0,227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0,228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402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1,273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10.04.1988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1,569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01.12.1976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0,852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1,752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404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1,807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419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0,991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1,117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405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0,054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0,637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22.05.1999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01.12.1994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1,067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1,664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0,879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0,852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0,537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1,127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20.05.1976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0,642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412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1,487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ЗТП 412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1,168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25.06.2001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504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1,640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06.03.2006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504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1,533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06.03.2006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1,454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1,343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1,011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1,223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301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0,259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04.04.2012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0,512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308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0,468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308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309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1,447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01.03.1974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1,558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01.03.1974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309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1,311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01.03.1974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1,977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0,821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0,821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1,452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319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1,486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320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0,717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320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0,891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0,457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0,434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02.04.1976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0,436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ЗТП 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08.08.2008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324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0,189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326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327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0,577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0,787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1,171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329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1,379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1,311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322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22.10.2008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1,348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01.10.2016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2,637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01.02.1978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01.02.1978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0,396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01.10.2014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01.10.2014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502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2,324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1,309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0,577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1005 (504)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1005 (504)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0,748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1007 (505)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1006 (506)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2,288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1006 (506)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1006 (506)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1002 (507)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1,078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1004 (508)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1,179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601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2,081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КТП 601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1,063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1,058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602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1,887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1,706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2,897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604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0,877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01.10.1974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0,688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605 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1,518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03.08.1963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1,049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605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1,940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01.02.1980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607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0,954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608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01.04.1981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608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0,953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01.04.1981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0,674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01.04.1981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0,823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01.04.1981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320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1,899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321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322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01.04.1981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323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324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612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1,625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325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326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615 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327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328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30.10.2014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329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330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331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619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25.06.2002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332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619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01.01.2002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333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619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25.06.2002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334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335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</w:t>
            </w:r>
            <w:r>
              <w:rPr>
                <w:color w:val="000000"/>
                <w:sz w:val="20"/>
                <w:szCs w:val="20"/>
              </w:rPr>
              <w:t xml:space="preserve">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336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337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1,554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338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</w:t>
            </w:r>
            <w:r>
              <w:rPr>
                <w:color w:val="000000"/>
                <w:sz w:val="20"/>
                <w:szCs w:val="20"/>
              </w:rPr>
              <w:t xml:space="preserve">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1,835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339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1,393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0,959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0,681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211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1,243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МТП 305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1,975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10.07.1987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МТП 305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10.07.1987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МТП 305 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10.07.1987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МТП 305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1,605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1,081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0,263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01.12.2000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01.12.2000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0,484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2,261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506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1,586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0,541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0,264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01.12.2000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01.12.2000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1,564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20.03.1998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2,656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511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1,059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20.03.2008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КТП 511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1,416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20.03.2008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0,191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2,446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534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01.06.1995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535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2,042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536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1,710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370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371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104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0,611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372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12.06.1974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373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374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375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 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0,891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376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1,554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377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1,066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378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0,224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379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1,065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0,891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0,399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1,429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1,526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202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0,892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0,681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0,784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01.08.1991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0,519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25.08.1998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1,029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25.08.2001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404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404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14.02.1997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1,749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20.05.1989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399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540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27.09.1995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540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1,496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27.09.1995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540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1,589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01.10.1974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1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3,675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ЗТП 1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0,121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30.06.1999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0,826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0,632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14.05.1963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1,685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2,730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5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1,709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ЗТП 5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1,497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ЗТП 8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1,246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15.11.1974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ЗТП 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25.12.2007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0,165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3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1,975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30.08.1998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ЗТП 3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1,815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30.06.1998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ЗТП 3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12.07.1997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25.05.1978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30.06.1981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0,567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1,566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31.12.1977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11.03.1985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0,364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11.03.1985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515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11.03.1985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31.12.1977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1,536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31.01.1985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516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1,304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31.01.1985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0,782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15.06.1994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0,593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31.12.2004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0,814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429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МТП 318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1,731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МТП 318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1,207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0,121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625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625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511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Гора-П</w:t>
            </w:r>
            <w:r>
              <w:rPr>
                <w:color w:val="000000"/>
                <w:sz w:val="20"/>
                <w:szCs w:val="20"/>
              </w:rPr>
              <w:t xml:space="preserve">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0,787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20.03.2008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535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0,679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ЗТП 301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0,465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01.04.1992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25.06.2001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ЗТП 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1,381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ЗТП 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0,464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MТП 110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0,437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MТП 110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0,224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МТП 110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1,597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30.11.1993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0,576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1,171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449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450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312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0,365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12.06.2008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451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322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22.10.2008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452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453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0,051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454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0,224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25.08.1991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455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1,343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456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0,129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457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 1 КТП 215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1,003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31.10.1992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458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ЗТП 215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1,036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31.10.1990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459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215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1,411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31.10.1992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460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215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1,344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31.10.1992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461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104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2,094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462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105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29.02.2008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463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115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464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465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502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01.06.1964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466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0,611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01.04.1998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467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01.04.1998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468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304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1,171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469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512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31.07.2010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470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513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31.07.2010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471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ТП 513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31.07.2010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472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509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31.07.2010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473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509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31.07.2010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474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ТП 509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31.07.2010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475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1012 (516N)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20.01.2011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476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№4 ЗТП 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1,377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10.11.2010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477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ЗТП 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1,003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10.11.2010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478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211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479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1009 (515)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НО ЗТП 8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1,026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501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0,736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ЗТП 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06.02.2008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501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1,064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НО КТП 501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Г.Подол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0,665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НО КТП 501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Г.Подол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№5 КТП 100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31.07.2008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1010 (512)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518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518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490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КТП 518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491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1008 (510)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1,605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28.02.2011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492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КТП 1009 (515)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493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1008 (510) 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28.02.2011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494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ШУР ЗТП 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1,217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21.05.1983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495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496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623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06.06.2011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497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623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06.06.2011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498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212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499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22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01.01.2011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0,131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01.12.1994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2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0,928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29.10.1987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ЗТП 2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29.10.1987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321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01.03.1984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413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0,319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ЗТП 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01.07.1974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1,761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ЗТП 411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01.06.1982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ЗТП 517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15.06.1994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510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КТП 206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31.03.2014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511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103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30.08.2014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512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912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0,844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20.09.2014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513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912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20.09.2014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514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КТП 912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0,742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21.09.2014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515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201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Каз. 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30.10.2014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516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333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517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ВЛИ-0,4кВ №4 КТП 912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518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КТП 809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519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№4 КТП 809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0,665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КТП 203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0,601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30.08.2014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№4 КТП 203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0,756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30.08.2014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№4 КТП 303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0,407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203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 3 КТП 405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 4 КТП 405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 №1 КТП 332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 №2 КТП 332 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 №3 КТП 303 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333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530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№4 КТП 301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531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532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30.10.2014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533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№1 КТП 420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534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№2 КТП 420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535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119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536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№1 от ЗТП-9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14.12.2009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537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314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538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№3 КТП 113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539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 кВ № 2 КТП 30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540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 кВ № 3 КТП 30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541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 кВ № 4 КТП 30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542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 кВ № 5 КТП 30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543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 кВ № 2 КТП 31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544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 кВ № 4 КТП 31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545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 кВ № 5 КТП 31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546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№2 ЗТП 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1,785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20.09.2014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547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№1 КТП 626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548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№2 ТП 626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0,668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549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№1 КТП 903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24.11.2015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903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24.11.2015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102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ТП 106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0,779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2,381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ВЛи-0,4кВ №1 СТП-1014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ВЛи-0,4кВ №1 СТП-1016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ВЛи-0,4кВ №4 КТП-1009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</w:t>
            </w:r>
            <w:r>
              <w:rPr>
                <w:color w:val="000000"/>
                <w:sz w:val="20"/>
                <w:szCs w:val="20"/>
              </w:rPr>
              <w:t xml:space="preserve">007(</w:t>
            </w:r>
            <w:r>
              <w:rPr>
                <w:color w:val="000000"/>
                <w:sz w:val="20"/>
                <w:szCs w:val="20"/>
              </w:rPr>
              <w:t xml:space="preserve">505)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559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201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 №3 КТП 623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06.10.2014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МТП 613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122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1,297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ТП 122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2,185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01.10.1994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120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0,861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0,057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25.05.1978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20.05.1982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25.05.1978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1,697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02.04.1976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31.05.2013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 кВ  № 3 КТП 415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 кВ № 1 КТП 30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 3 КТП 403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</w:t>
            </w:r>
            <w:r>
              <w:rPr>
                <w:color w:val="000000"/>
                <w:sz w:val="20"/>
                <w:szCs w:val="20"/>
              </w:rPr>
              <w:t xml:space="preserve">Подол cовме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22.09.2016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 3 КТП 215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 совме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01.09.2016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 1 КТП 125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 2 КТП 125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Казачья 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Казачья 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Казачья 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ЗТП 412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01.05.1990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20.05.1989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СТП 217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02.04.1976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620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1,660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20.05.1976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322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20.05.1989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589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20.05.1986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№1 Полигон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№2 Полигон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0,013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№3 Полигон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0,018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601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416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21.12.2016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909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21.12.2009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№6 КТП-100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№1 СТП 202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31.07.2016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 3 КТП 402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0,065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31.07.2015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10.10.1981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614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№1 КТП 118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07.11.2014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 2 КТП 202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07.11.2006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Ф-1от ЗТП-29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 кВ № 3от КТП-102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30.06.1995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612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 кВ № 1 КТП 518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31.12.2004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625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18.06.2014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 кВ № 3 КТП 31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Казачья 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31.05.2017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610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533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23.06.2017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611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№5 КТП 533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23.06.2017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612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533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23.06.2017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613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533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23.06.2017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614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 кВ № 1 СТП 306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25.07.2017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615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 кВ № 1 СТП 801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25.07.2017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616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МТП 118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31.01.1991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617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от ЗТП-307 ПС-35 кВ </w:t>
            </w:r>
            <w:r>
              <w:rPr>
                <w:color w:val="000000"/>
                <w:sz w:val="20"/>
                <w:szCs w:val="20"/>
              </w:rPr>
              <w:t xml:space="preserve">«</w:t>
            </w:r>
            <w:r>
              <w:rPr>
                <w:color w:val="000000"/>
                <w:sz w:val="20"/>
                <w:szCs w:val="20"/>
              </w:rPr>
              <w:t xml:space="preserve">Дорогощь</w:t>
            </w:r>
            <w:r>
              <w:rPr>
                <w:color w:val="000000"/>
                <w:sz w:val="20"/>
                <w:szCs w:val="20"/>
              </w:rPr>
              <w:t xml:space="preserve">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14.12.2009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618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№1 КТП 512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21.09.2017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619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904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10.10.2017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620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511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621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622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1002 (507)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623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(1002) 507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31.01.2013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624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502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23.11.2012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625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(1002) 507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626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 2 КТП-26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12.07.2012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627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628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21.08.2018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628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105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30.08.2013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629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СТП 415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01.09.2018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206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10.09.2018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ШУР ЗТП 15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0,255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30.06.1999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614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0,835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 кВ № 4 КТП 102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19.12.2018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909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405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30.12.2018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№5 КТП 102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05.09.2019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ВЛ-0,4кВ №2 КТП 510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0,254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01.11.2019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906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0,017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22.11.2019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639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513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24.12.2019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МТП 118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24.12.2019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204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25.12.2019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403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25.12.2019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501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25.12.2019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321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17.01.2020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ЗТП 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05.02.2020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120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1,225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12.02.1997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101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14.08.2020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512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19.08.2020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СТП-543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0,046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20.10.2020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№5 ТП 101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01.12.1994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№1 КТП 531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№3 КТП 531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ВЛИ 0,4кВ №2 КТП 531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СИП 2 3*70+1*70+1,54,6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01.12.2014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107 К.Лисица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105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01.07.2005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01.07.1975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401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1,475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30.10.2014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ЗТП 301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01.04.1992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1004 (508)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0,259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01.03.1965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909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01.01.1964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1,030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1121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0,753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02.04.1976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№3 КТП 1121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20.05.1986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КТП 402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204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1,169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№4 ЗТП 301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01.04.1992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№2 КТП 401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ВЛ 0,4кВ №1 КТП 204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А-35, А-50</w:t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1,346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01.07.1988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воздушный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670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ЗТП-11ПС Гр-н Д.90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ул Урицкого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671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ЗТП-11ПС Гр-н Д.2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ул Заводская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672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№13 КТП 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673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КТП 417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30.09.2004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674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 №4кот ТП №2 Город-1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675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 №5дс ТП №2 Город-1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676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№8 ТП 2 Город-1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677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 №12 ТП №8 Город-3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678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679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№2 ЗТП №2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№3 ЗТП №2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2,200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29.10.2004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№4 НО ЗТП 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29.10.2004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КТП-507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№5 ЗТП 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30.05.2002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КТП №4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25.09.2007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0,675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(очистн</w:t>
            </w:r>
            <w:r>
              <w:rPr>
                <w:color w:val="000000"/>
                <w:sz w:val="20"/>
                <w:szCs w:val="20"/>
              </w:rPr>
              <w:t xml:space="preserve">)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17.11.2008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ЗТП-14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25.09.2007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№2 ЗТП №15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№3 ЗТП №15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3,200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№4 ЗТП №15 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№5 ЗТП 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0,467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№6 ЗТП №15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ж.дом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№7 ГРП ЗТП №15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№6 ЗТП 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3,432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29.10.2004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№7 ЗТП 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17.12.2007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№2 ЗТП 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17.12.1987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ЗТП 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- ж.д.38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0,065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30.05.2002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ЗТП 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- ж.д.36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30.05.2002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№2 рын ЗТП №23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0,690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№3конт ЗТП №23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25.09.2007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№2 ЗТП №28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25.09.2007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ЗТП-214 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 ЗТП-517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17.11.2007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710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ЗТП-513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17.11.2007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711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№2 ЗТП №517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17.11.2007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712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№3 ЗТП №517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0,190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17.11.2007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713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№4 ЗТП 517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17.11.2007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714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КТП-602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715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ЗТП-104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716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№3 ЗТП №28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25.09.2007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717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№2 ЗТП №8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17.12.2007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718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№4 ЗТП №28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25.09.2007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719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№5 ЗТП 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</w:t>
            </w:r>
            <w:r>
              <w:rPr>
                <w:color w:val="000000"/>
                <w:sz w:val="20"/>
                <w:szCs w:val="20"/>
              </w:rPr>
              <w:t xml:space="preserve">Г</w:t>
            </w:r>
            <w:r>
              <w:rPr>
                <w:color w:val="000000"/>
                <w:sz w:val="20"/>
                <w:szCs w:val="20"/>
              </w:rPr>
              <w:t xml:space="preserve">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№3 ЗТП №8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</w:t>
            </w:r>
            <w:r>
              <w:rPr>
                <w:color w:val="000000"/>
                <w:sz w:val="20"/>
                <w:szCs w:val="20"/>
              </w:rPr>
              <w:t xml:space="preserve">Г</w:t>
            </w:r>
            <w:r>
              <w:rPr>
                <w:color w:val="000000"/>
                <w:sz w:val="20"/>
                <w:szCs w:val="20"/>
              </w:rPr>
              <w:t xml:space="preserve">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17.12.2007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№3 АБК РЭС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0,195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21.08.1997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№3 быт.пом.ОВБ РЭС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0,015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21.08.1997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№2 склад РЭС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21.08.1997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НО от ЗТП-29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19.09.2008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НО ЗТП №23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0,960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24.05.2006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№2  шк ЗТП-216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№2 ЗТП №7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№3 ЗТП №7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17.11.2007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17.12.2007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№4 л.корп ЗТП-7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№5стол. ЗТП-7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№6 стол. ЗТП-7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0,370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водокан ЗТП-16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№2 водокан ЗТП-16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30.09.1978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ТП-29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25.09.2007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№5 КТП 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30.05.2002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ТП №512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739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ТП №216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ТП-201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30.06.2005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ТП-406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ТП №414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ЗТП-503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0,210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№1 ТП №305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28.05.2007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КТП124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- школа в2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01.09.2012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КТП124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- школа в1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01.09.2012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КТП124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- ТКУ-1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0,063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01.09.2012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КТП124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- ТКУ-2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0,063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01.09.2012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749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КТП124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Грайворон-мастерская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01.09.2012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КТП124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- водозабор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01.09.2012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КТП124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- теплица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0,054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01.09.2012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от КТП-25 до ВРУ№1 водозабор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0,047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29.02.2012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от ВРУ№1 до ВРУ№2 в/з Северный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29.02.2012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ЗТП-22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- ж.д.51а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0,254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31.07.2013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от КТП 401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 до ВРУ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0,148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31.01.2014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КТП 909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0,174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30.03.2014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КТП 910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0,058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30.03.2014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ЗТП-4 - ВРУ пенс.фонда г.Грайво</w:t>
            </w:r>
            <w:r>
              <w:rPr>
                <w:color w:val="000000"/>
                <w:sz w:val="20"/>
                <w:szCs w:val="20"/>
              </w:rPr>
              <w:t xml:space="preserve">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0,225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759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от РУ 0,4кВ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ЗТП 23 до ВРУ 0,4кВ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0,140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31.01.2015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760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№1 ЗТП 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(ТЦ Семе</w:t>
            </w:r>
            <w:r>
              <w:rPr>
                <w:color w:val="000000"/>
                <w:sz w:val="20"/>
                <w:szCs w:val="20"/>
              </w:rPr>
              <w:t xml:space="preserve">йный)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0,084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761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№2 КТП 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762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 кВ №3 КТП 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763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 кВ №4 КТП 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0,086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764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 кВ №8 КТП 22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30.11.2015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765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№1 от ШУР 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 ШУР 10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766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№2 от ШУР 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 ШУР 13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767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№3 от ШУР 10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 ШУР 8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768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№4 от ШУР 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 ШУР 6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769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№5 от ШУР 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 ШУР 4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770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№6 от ШУР 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 ШУР 15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771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№7 от ШУР 13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 ШУР 11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772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№8 от ШУР 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 ШУР 9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773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№9 от ШУР 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 ШУР 7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01.01.2006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774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№10 от ШУР 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 ШУР 5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31.08.2006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775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№4 ЗТП 8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0,285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26.07.2016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776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КТП 627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0,030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31.07.2016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777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 кВ № 7 ЗТП 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30.06.2016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778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№2 ЗТП 411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0,060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31.08.2014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779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№6 КТП 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(Олимп)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0,036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780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КТП4 ПС Грайворон ВРУ Санаторий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0,056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781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КТП4 ПС Грайворон освещ.санатор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0,016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782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№8 ЗТП 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</w:t>
            </w:r>
            <w:r>
              <w:rPr>
                <w:color w:val="000000"/>
                <w:sz w:val="20"/>
                <w:szCs w:val="20"/>
              </w:rPr>
              <w:t xml:space="preserve">Г</w:t>
            </w:r>
            <w:r>
              <w:rPr>
                <w:color w:val="000000"/>
                <w:sz w:val="20"/>
                <w:szCs w:val="20"/>
              </w:rPr>
              <w:t xml:space="preserve">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17.11.2008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783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ЗТП16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до ВРУ водоз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0,250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784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от ЗТП-23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30.09.2012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785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 кВ КТП 100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до ЩУР №1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28.02.2013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786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№2 КТП 4 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0,099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30.09.2016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787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КЛ-0,4кВ №1 КТП 19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0,017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20.04.2017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788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 кВ КТП 19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 кабель Б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0,017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24.05.2017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789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КТП-533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0,076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23.06.2017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 xml:space="preserve">КЛ 0,4 кВ №1 КТП 533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 xml:space="preserve">ПС Грайворон Н.О.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0,076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23.06.2017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 кВ №5 КТП 533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0,034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23.06.2017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 кВ №3 КТП 533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23.06.2017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 кВ №2 КТП 533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23.06.2017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  <w:highlight w:val="green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 xml:space="preserve">КЛ 0,4 кВ №2 КТП 533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highlight w:val="green"/>
              </w:rPr>
              <w:t xml:space="preserve">ПС Грайворон Н.О.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23.06.2017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 кВ №4 КТП 533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0,245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23.06.2017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КЛ0,4кВ эл.снаб.</w:t>
            </w:r>
            <w:r>
              <w:rPr>
                <w:color w:val="000000"/>
                <w:sz w:val="20"/>
                <w:szCs w:val="20"/>
              </w:rPr>
              <w:t xml:space="preserve">»</w:t>
            </w:r>
            <w:r>
              <w:rPr>
                <w:color w:val="000000"/>
                <w:sz w:val="20"/>
                <w:szCs w:val="20"/>
              </w:rPr>
              <w:t xml:space="preserve">Круглого здания</w:t>
            </w:r>
            <w:r>
              <w:rPr>
                <w:color w:val="000000"/>
                <w:sz w:val="20"/>
                <w:szCs w:val="20"/>
              </w:rPr>
              <w:t xml:space="preserve">» </w:t>
            </w:r>
            <w:r>
              <w:rPr>
                <w:color w:val="000000"/>
                <w:sz w:val="20"/>
                <w:szCs w:val="20"/>
              </w:rPr>
              <w:t xml:space="preserve">с.Голов</w:t>
            </w:r>
            <w:r>
              <w:rPr>
                <w:color w:val="000000"/>
                <w:sz w:val="20"/>
                <w:szCs w:val="20"/>
              </w:rPr>
              <w:t xml:space="preserve">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0,580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27.06.2005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КТП 207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25.10.2017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№2 КТП 207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</w:t>
            </w:r>
            <w:r>
              <w:rPr>
                <w:color w:val="000000"/>
                <w:sz w:val="20"/>
                <w:szCs w:val="20"/>
              </w:rPr>
              <w:t xml:space="preserve">-</w:t>
            </w:r>
            <w:r>
              <w:rPr>
                <w:color w:val="000000"/>
                <w:sz w:val="20"/>
                <w:szCs w:val="20"/>
              </w:rPr>
              <w:t xml:space="preserve">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25.10.2017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 кВ №1 КТП 507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0,041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31.12.2017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800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№8 ЗТП 23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0,024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01.05.2018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801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№9 ЗТП 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0,700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28.09.2018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802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КТП 501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17.04.2019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803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№4 КТП 501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0,270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17.04.2019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804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КТП 311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17.04.2019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805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КТП 516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Гора-Подол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0,035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17.04.2019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806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КТП 911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Дорогощь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0,013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01.08.2019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807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 СТП 124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Головчино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0,002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24.12.2019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808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№12 ЗТП 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25.12.2019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  <w:tr>
        <w:trPr>
          <w:jc w:val="center"/>
          <w:trHeight w:val="20"/>
        </w:trPr>
        <w:tc>
          <w:tcPr>
            <w:shd w:val="clear" w:color="auto" w:fill="auto"/>
            <w:tcW w:w="18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809</w:t>
            </w:r>
            <w:r/>
          </w:p>
        </w:tc>
        <w:tc>
          <w:tcPr>
            <w:shd w:val="clear" w:color="auto" w:fill="auto"/>
            <w:tcW w:w="11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 0,4кВ №13 ЗТП 28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ПС Грайворон</w:t>
            </w:r>
            <w:r/>
          </w:p>
        </w:tc>
        <w:tc>
          <w:tcPr>
            <w:shd w:val="clear" w:color="auto" w:fill="auto"/>
            <w:tcW w:w="46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595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0,4</w:t>
            </w:r>
            <w:r/>
          </w:p>
        </w:tc>
        <w:tc>
          <w:tcPr>
            <w:shd w:val="clear" w:color="auto" w:fill="auto"/>
            <w:tcW w:w="349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0,020 км</w:t>
            </w:r>
            <w:r/>
          </w:p>
        </w:tc>
        <w:tc>
          <w:tcPr>
            <w:shd w:val="clear" w:color="auto" w:fill="auto"/>
            <w:tcW w:w="402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6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25.12.2019</w:t>
            </w:r>
            <w:r/>
          </w:p>
        </w:tc>
        <w:tc>
          <w:tcPr>
            <w:shd w:val="clear" w:color="auto" w:fill="auto"/>
            <w:tcW w:w="641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подземный</w:t>
            </w:r>
            <w:r/>
          </w:p>
        </w:tc>
      </w:tr>
    </w:tbl>
    <w:p>
      <w:pPr>
        <w:ind w:firstLine="617"/>
        <w:jc w:val="center"/>
        <w:spacing w:line="300" w:lineRule="auto"/>
      </w:pPr>
      <w:r/>
      <w:r/>
    </w:p>
    <w:p>
      <w:pPr>
        <w:ind w:firstLine="617"/>
        <w:jc w:val="right"/>
        <w:spacing w:line="300" w:lineRule="auto"/>
        <w:sectPr>
          <w:footnotePr/>
          <w:endnotePr/>
          <w:type w:val="nextPage"/>
          <w:pgSz w:w="16838" w:h="11906" w:orient="landscape"/>
          <w:pgMar w:top="851" w:right="1134" w:bottom="1418" w:left="1134" w:header="709" w:footer="709" w:gutter="0"/>
          <w:cols w:num="1" w:sep="0" w:space="708" w:equalWidth="1"/>
          <w:docGrid w:linePitch="360"/>
        </w:sectPr>
      </w:pPr>
      <w:r/>
      <w:r/>
    </w:p>
    <w:p>
      <w:pPr>
        <w:pStyle w:val="822"/>
        <w:ind w:left="0"/>
        <w:jc w:val="center"/>
        <w:rPr>
          <w:b/>
          <w:sz w:val="28"/>
          <w:szCs w:val="28"/>
        </w:rPr>
        <w:outlineLvl w:val="2"/>
      </w:pPr>
      <w:r/>
      <w:bookmarkStart w:id="14" w:name="_Toc533014792"/>
      <w:r>
        <w:rPr>
          <w:b/>
          <w:sz w:val="28"/>
          <w:szCs w:val="28"/>
        </w:rPr>
        <w:t xml:space="preserve">2.1.6. Сбор и утилизация твердых бытовых отходов</w:t>
      </w:r>
      <w:bookmarkEnd w:id="14"/>
      <w:r/>
      <w:r/>
    </w:p>
    <w:p>
      <w:pPr>
        <w:pStyle w:val="822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Важное значение для создания благоприятных условий проживания имеет санитарно-гигиеническое состояние населенных мест, в частности вопросы сбора, утилизации, обезвреживания и обеззараживания бытовых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промышленных отходов.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муниципального образования сбор и вывоз твердых бытовых отходов и крупногабаритных отходов производится мусоровозами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контейнерных площадок, расположенных как в районе муниципальных домов, так и в частном секторе. Предприятия по переработке отходов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территории Грайворонского городского округа отсутствуют.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Сбор, транспортировка и утилизация отходов осуществляется специализированной организацией, имеющей лицензию на данный вид деятельности.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</w:t>
      </w:r>
      <w:r>
        <w:rPr>
          <w:sz w:val="28"/>
          <w:szCs w:val="28"/>
        </w:rPr>
        <w:t xml:space="preserve">итории городского округа установлены контейнеры для сбора мусора в местах потенциально возможного скопления мусора. Количество площадок для установки контейнеров в населенном пункте определяется исходя из численности населения, объёма образования отходов,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необходимого для населенного пункта числа контейнеров для сбора мусора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 площадок должен быть рассчитан на установку необходимого числа, но не более 5, контейнеров.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постоянной основе осуществляется ликвидация свалок, расположенных не только в населенных пунктах, но и на прилегающих территориях.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сбора жидких отходов в не канализованных домовладениях устанавливаются дворовые помойницы, которые имеют водонепроницаемый выгреб и наземную часть с крышкой и съемной решеткой для отделения твердых фракций.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своевременный вывоз мусора и наличие контейнерных площадок, жители муниципального образования устраивают несанкционированные свалки, которые неблагоприятно влияют на внешний вид и санитарное состояние городского округа.</w:t>
      </w:r>
      <w:r/>
    </w:p>
    <w:p>
      <w:pPr>
        <w:pStyle w:val="822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по совершенствованию сбора бытовых отходов в первую очередь направлена на обустройство достаточного количества контейнерных площадок на всей территории м</w:t>
      </w:r>
      <w:r>
        <w:rPr>
          <w:sz w:val="28"/>
          <w:szCs w:val="28"/>
        </w:rPr>
        <w:t xml:space="preserve">униципального образования. Приоритет в этой работе принадлежит организациям, осуществляющим управление многоквартирными жилыми домами и организациям, имеющим лицензии на деятельность в сфере обращения бытовых отходов, при общей координации их деятельности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со стороны администрации муниципального образования. Результатами проведенной работы должны стать отсутствие несанкционированных свалок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дворовых территориях и ликвидация предпосылок для складирования бытового мусора в непредназначенных для этого местах.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Вывоз твердых коммунальных отходов осуществляется на полигон ТКО, входящий в состав Яковлевского экологического комплекса по адресу: </w:t>
      </w:r>
      <w:r>
        <w:rPr>
          <w:sz w:val="28"/>
          <w:szCs w:val="28"/>
        </w:rPr>
        <w:t xml:space="preserve">Белгородская область, </w:t>
      </w:r>
      <w:r>
        <w:rPr>
          <w:sz w:val="28"/>
          <w:szCs w:val="28"/>
        </w:rPr>
        <w:t xml:space="preserve">Яковлевский </w:t>
      </w:r>
      <w:r>
        <w:rPr>
          <w:sz w:val="28"/>
          <w:szCs w:val="28"/>
        </w:rPr>
        <w:t xml:space="preserve">город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кой округ</w:t>
      </w:r>
      <w:r>
        <w:rPr>
          <w:sz w:val="28"/>
          <w:szCs w:val="28"/>
        </w:rPr>
        <w:t xml:space="preserve">, в границах СПК «Первое Мая».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городского округа расположен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1051 контейнерн</w:t>
      </w:r>
      <w:r>
        <w:rPr>
          <w:sz w:val="28"/>
          <w:szCs w:val="28"/>
        </w:rPr>
        <w:t xml:space="preserve">ая</w:t>
      </w:r>
      <w:r>
        <w:rPr>
          <w:sz w:val="28"/>
          <w:szCs w:val="28"/>
        </w:rPr>
        <w:t xml:space="preserve"> площадк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, в том числе:</w:t>
      </w:r>
      <w:r/>
    </w:p>
    <w:p>
      <w:pPr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н</w:t>
      </w:r>
      <w:r>
        <w:rPr>
          <w:sz w:val="28"/>
          <w:szCs w:val="28"/>
        </w:rPr>
        <w:t xml:space="preserve">а один контейнер </w:t>
      </w: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 795 шт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;</w:t>
      </w:r>
      <w:r/>
    </w:p>
    <w:p>
      <w:pPr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а два контейнера – 225 шт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;</w:t>
      </w:r>
      <w:r/>
    </w:p>
    <w:p>
      <w:pPr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а три контейнера – 27 шт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;</w:t>
      </w:r>
      <w:r/>
    </w:p>
    <w:p>
      <w:pPr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а четыре контейнера – 2 шт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;</w:t>
      </w:r>
      <w:r/>
    </w:p>
    <w:p>
      <w:pPr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а пять контейнеров – 2 шт.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на территории муниципального образования расположено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344 контейнер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Региональным оператором является Общество с ограниченной ответственностью «Центр Экологической Безопасности» Белгородской </w:t>
      </w:r>
      <w:r>
        <w:rPr>
          <w:sz w:val="28"/>
          <w:szCs w:val="28"/>
        </w:rPr>
        <w:t xml:space="preserve">области, в лице генерального директора </w:t>
      </w:r>
      <w:r>
        <w:rPr>
          <w:sz w:val="28"/>
          <w:szCs w:val="28"/>
        </w:rPr>
        <w:t xml:space="preserve">Дуюна Сергея Вячеславовича</w:t>
      </w:r>
      <w:r>
        <w:rPr>
          <w:sz w:val="28"/>
          <w:szCs w:val="28"/>
        </w:rPr>
        <w:t xml:space="preserve">.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ООО «Еврологистик» в лице директора Лисициной Олеси Юрьевны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ООО «Центр ЖКУ</w:t>
      </w:r>
      <w:r>
        <w:rPr>
          <w:sz w:val="28"/>
          <w:szCs w:val="28"/>
        </w:rPr>
        <w:t xml:space="preserve"> «Грайворонский</w:t>
      </w:r>
      <w:r>
        <w:rPr>
          <w:sz w:val="28"/>
          <w:szCs w:val="28"/>
        </w:rPr>
        <w:t xml:space="preserve">» в лице директора Фролова Геннадия Викторовича заключили договор </w:t>
      </w:r>
      <w:r>
        <w:rPr>
          <w:sz w:val="28"/>
          <w:szCs w:val="28"/>
        </w:rPr>
        <w:t xml:space="preserve">от 06 декабря 2019 года </w:t>
      </w:r>
      <w:r>
        <w:rPr>
          <w:sz w:val="28"/>
          <w:szCs w:val="28"/>
        </w:rPr>
        <w:t xml:space="preserve">№ДУ-1/18/Гр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оказание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транспортированию ТКО на территории Грайворонского городского округа из мест их накопления в места приема и размещения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границах территории оказания услуг.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договору субподряда ООО «Центр ЖКУ</w:t>
      </w:r>
      <w:r>
        <w:rPr>
          <w:sz w:val="28"/>
          <w:szCs w:val="28"/>
        </w:rPr>
        <w:t xml:space="preserve"> «Грайворонский»</w:t>
      </w:r>
      <w:r>
        <w:rPr>
          <w:sz w:val="28"/>
          <w:szCs w:val="28"/>
        </w:rPr>
        <w:t xml:space="preserve"> принимает на себя обязательство оказывать услуги по погрузке ТКО, в том числе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КГО в</w:t>
      </w:r>
      <w:r>
        <w:rPr>
          <w:sz w:val="28"/>
          <w:szCs w:val="28"/>
        </w:rPr>
        <w:t xml:space="preserve"> местах их накопления в границах Грайворонского городского округа,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их дальнейшей транспортировки в целях обработки, утилизации, обезвреживания и захоронения на полигон ТКО Яковлевского городского округа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Разработаны маршруты движения транспорта по сбору ТКО, график вывоза.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Установлены контейнера для сбора раздельного вторичного сырья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здании администрации Грайворонского городского округа.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Грайворонского городского округа расположен объект накопленного вреда окружающей среде – свалка по ул. Серика, 53 в городе Грайворон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 31:13:1310009:4 был поставлен на кадастровый учёт 11 января 2005 года.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земельного участка г. Грайворон</w:t>
      </w:r>
      <w:r>
        <w:rPr>
          <w:sz w:val="28"/>
          <w:szCs w:val="28"/>
        </w:rPr>
        <w:t xml:space="preserve">е на</w:t>
      </w:r>
      <w:r>
        <w:rPr>
          <w:sz w:val="28"/>
          <w:szCs w:val="28"/>
        </w:rPr>
        <w:t xml:space="preserve"> ул. Серика, 53,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для размещения твердых коммунальных отходов запрещено (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остановление администрации муниципального района «Грайворонский район»</w:t>
      </w:r>
      <w:r>
        <w:rPr>
          <w:sz w:val="28"/>
          <w:szCs w:val="28"/>
        </w:rPr>
        <w:t xml:space="preserve"> Белгородской области</w:t>
      </w:r>
      <w:r>
        <w:rPr>
          <w:sz w:val="28"/>
          <w:szCs w:val="28"/>
        </w:rPr>
        <w:t xml:space="preserve"> от 19</w:t>
      </w:r>
      <w:r>
        <w:rPr>
          <w:sz w:val="28"/>
          <w:szCs w:val="28"/>
        </w:rPr>
        <w:t xml:space="preserve"> апреля </w:t>
      </w:r>
      <w:r>
        <w:rPr>
          <w:sz w:val="28"/>
          <w:szCs w:val="28"/>
        </w:rPr>
        <w:t xml:space="preserve">2017 г</w:t>
      </w:r>
      <w:r>
        <w:rPr>
          <w:sz w:val="28"/>
          <w:szCs w:val="28"/>
        </w:rPr>
        <w:t xml:space="preserve">ода</w:t>
      </w:r>
      <w:r>
        <w:rPr>
          <w:sz w:val="28"/>
          <w:szCs w:val="28"/>
        </w:rPr>
        <w:t xml:space="preserve"> № 140-п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О запрете использования земельного участка для размещения твердых коммунальных отходов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).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Ориентировочный объем </w:t>
      </w:r>
      <w:r>
        <w:rPr>
          <w:sz w:val="28"/>
          <w:szCs w:val="28"/>
        </w:rPr>
        <w:t xml:space="preserve">захороненных отходов составляет</w:t>
      </w:r>
      <w:r>
        <w:rPr>
          <w:sz w:val="28"/>
          <w:szCs w:val="28"/>
        </w:rPr>
        <w:t xml:space="preserve"> 53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900м</w:t>
      </w:r>
      <w:r>
        <w:rPr>
          <w:sz w:val="28"/>
          <w:szCs w:val="28"/>
          <w:vertAlign w:val="superscript"/>
        </w:rPr>
        <w:t xml:space="preserve">3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 размещенных отходов – отходы твердые коммунальные IV-V класса опасности.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проектно-сметная документация на рекультивацию </w:t>
      </w:r>
      <w:r>
        <w:rPr>
          <w:sz w:val="28"/>
          <w:szCs w:val="28"/>
        </w:rPr>
        <w:t xml:space="preserve">данного объекта разработана, прошла все необходимые экспертизы.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униципальн</w:t>
      </w:r>
      <w:r>
        <w:rPr>
          <w:sz w:val="28"/>
          <w:szCs w:val="28"/>
        </w:rPr>
        <w:t xml:space="preserve">ый контракт</w:t>
      </w:r>
      <w:r>
        <w:rPr>
          <w:sz w:val="28"/>
          <w:szCs w:val="28"/>
        </w:rPr>
        <w:t xml:space="preserve"> на выполнение работ по рекультивации </w:t>
      </w:r>
      <w:r>
        <w:rPr>
          <w:sz w:val="28"/>
          <w:szCs w:val="28"/>
        </w:rPr>
        <w:t xml:space="preserve">объекта накопленного вреда окружающей среде заключен 14 ноября 2022 года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 174/14/11-ЕП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Окончание выполнения работ по контракту- по 30 октября 2023 года.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22"/>
        <w:ind w:left="0"/>
        <w:jc w:val="center"/>
        <w:rPr>
          <w:b/>
          <w:sz w:val="28"/>
          <w:szCs w:val="28"/>
        </w:rPr>
        <w:outlineLvl w:val="1"/>
      </w:pPr>
      <w:r/>
      <w:bookmarkStart w:id="15" w:name="_Toc533014793"/>
      <w:r>
        <w:rPr>
          <w:b/>
          <w:sz w:val="28"/>
          <w:szCs w:val="28"/>
        </w:rPr>
        <w:t xml:space="preserve">2.2. Краткий анализ состояния установки приборов учета </w:t>
      </w:r>
      <w:r/>
    </w:p>
    <w:p>
      <w:pPr>
        <w:pStyle w:val="822"/>
        <w:ind w:left="0"/>
        <w:jc w:val="center"/>
        <w:rPr>
          <w:b/>
          <w:sz w:val="28"/>
          <w:szCs w:val="28"/>
        </w:rPr>
        <w:outlineLvl w:val="1"/>
      </w:pPr>
      <w:r>
        <w:rPr>
          <w:b/>
          <w:sz w:val="28"/>
          <w:szCs w:val="28"/>
        </w:rPr>
        <w:t xml:space="preserve">и энергоресурсосбережения у потребителей</w:t>
      </w:r>
      <w:bookmarkEnd w:id="15"/>
      <w:r/>
      <w:r/>
    </w:p>
    <w:p>
      <w:pPr>
        <w:pStyle w:val="822"/>
        <w:ind w:left="0"/>
        <w:jc w:val="both"/>
        <w:spacing w:before="240"/>
        <w:rPr>
          <w:b/>
          <w:sz w:val="28"/>
          <w:szCs w:val="28"/>
        </w:rPr>
        <w:outlineLvl w:val="1"/>
      </w:pPr>
      <w:r>
        <w:rPr>
          <w:b/>
          <w:sz w:val="28"/>
          <w:szCs w:val="28"/>
        </w:rPr>
      </w:r>
      <w:r/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Ресурсоснабжающие организации особое внимание уделяют достоверному учету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потребленных ресурсов. Программа предусматривает установку приборов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учета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потребления ресурсов. Установка приборов учета позволит получать оперативную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информацию как о состоянии счетчиков,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так и о количестве потребленного коммунального ресурса.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Крупные котельные оснащены приборами учета, фиксирующими значения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расхода, давления и температуры теплоносителя в прямом и обратом трубопроводе,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 также в линии подпитки. Все средства измерения проходят регулярную поверку.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степени оснащённости приборами учёта потребителей коммунальных ресурсов на территории городского округа представлена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таблице 49.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keepNext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о степени оснащённости приборами учёта потребителей</w:t>
      </w:r>
      <w:r/>
    </w:p>
    <w:p>
      <w:pPr>
        <w:jc w:val="center"/>
        <w:keepNext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keepNext/>
        <w:rPr>
          <w:sz w:val="28"/>
          <w:szCs w:val="28"/>
        </w:rPr>
      </w:pPr>
      <w:r>
        <w:rPr>
          <w:sz w:val="28"/>
          <w:szCs w:val="28"/>
        </w:rPr>
        <w:t xml:space="preserve">Таблица 49</w:t>
      </w:r>
      <w:r/>
    </w:p>
    <w:p>
      <w:pPr>
        <w:jc w:val="right"/>
        <w:keepNext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tbl>
      <w:tblPr>
        <w:tblW w:w="9850" w:type="dxa"/>
        <w:tblInd w:w="93" w:type="dxa"/>
        <w:tblLook w:val="04A0" w:firstRow="1" w:lastRow="0" w:firstColumn="1" w:lastColumn="0" w:noHBand="0" w:noVBand="1"/>
      </w:tblPr>
      <w:tblGrid>
        <w:gridCol w:w="3373"/>
        <w:gridCol w:w="2985"/>
        <w:gridCol w:w="3492"/>
      </w:tblGrid>
      <w:tr>
        <w:trPr>
          <w:trHeight w:val="586"/>
          <w:tblHeader/>
        </w:trPr>
        <w:tc>
          <w:tcPr>
            <w:shd w:val="clear" w:color="auto" w:fill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37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Тип ресурса</w:t>
            </w:r>
            <w:r/>
          </w:p>
        </w:tc>
        <w:tc>
          <w:tcPr>
            <w:shd w:val="clear" w:color="auto" w:fill="auto"/>
            <w:tcBorders>
              <w:top w:val="single" w:color="auto" w:sz="8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Категория потребителей</w:t>
            </w:r>
            <w:r/>
          </w:p>
        </w:tc>
        <w:tc>
          <w:tcPr>
            <w:shd w:val="clear" w:color="auto" w:fill="auto"/>
            <w:tcBorders>
              <w:top w:val="single" w:color="auto" w:sz="8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% оснащённости потребителей</w:t>
            </w:r>
            <w:r/>
          </w:p>
        </w:tc>
      </w:tr>
      <w:tr>
        <w:trPr>
          <w:trHeight w:val="294"/>
        </w:trPr>
        <w:tc>
          <w:tcPr>
            <w:shd w:val="clear" w:color="auto" w:fill="auto"/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Теплоснабжение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Предприятия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МКД (по жильцам)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11,54%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ИЖС (частные дома)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0,00%</w:t>
            </w:r>
            <w:r/>
          </w:p>
        </w:tc>
      </w:tr>
      <w:tr>
        <w:trPr>
          <w:trHeight w:val="98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Бюджетные учреждения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71,83%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Прочие потребители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37,14%</w:t>
            </w:r>
            <w:r/>
          </w:p>
        </w:tc>
      </w:tr>
      <w:tr>
        <w:trPr>
          <w:trHeight w:val="294"/>
        </w:trPr>
        <w:tc>
          <w:tcPr>
            <w:shd w:val="clear" w:color="auto" w:fill="auto"/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Водоснабжение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Предприятия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МКД (по жильцам)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91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ИЖС (частные дома)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80,9</w:t>
            </w:r>
            <w:r/>
          </w:p>
        </w:tc>
      </w:tr>
      <w:tr>
        <w:trPr>
          <w:trHeight w:val="489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Бюджетные учреждения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96,3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Прочие потребители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93,1</w:t>
            </w:r>
            <w:r/>
          </w:p>
        </w:tc>
      </w:tr>
      <w:tr>
        <w:trPr>
          <w:trHeight w:val="294"/>
        </w:trPr>
        <w:tc>
          <w:tcPr>
            <w:shd w:val="clear" w:color="auto" w:fill="auto"/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Водоотведение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Предприятия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МКД (по жильцам)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ИЖС (частные дома)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/>
          </w:p>
        </w:tc>
      </w:tr>
      <w:tr>
        <w:trPr>
          <w:trHeight w:val="489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Бюджетные учреждения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Прочие потребители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/>
          </w:p>
        </w:tc>
      </w:tr>
      <w:tr>
        <w:trPr>
          <w:trHeight w:val="294"/>
        </w:trPr>
        <w:tc>
          <w:tcPr>
            <w:shd w:val="clear" w:color="auto" w:fill="auto"/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Газоснабжение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Предприятия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100,00%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МКД (по жильцам)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82%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ИЖС (частные дома)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99%</w:t>
            </w:r>
            <w:r/>
          </w:p>
        </w:tc>
      </w:tr>
      <w:tr>
        <w:trPr>
          <w:trHeight w:val="489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Бюджетные учреждения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100%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Прочие потребители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</w:t>
            </w:r>
            <w:r/>
          </w:p>
        </w:tc>
      </w:tr>
      <w:tr>
        <w:trPr>
          <w:trHeight w:val="294"/>
        </w:trPr>
        <w:tc>
          <w:tcPr>
            <w:shd w:val="clear" w:color="auto" w:fill="auto"/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Электроснабжение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Предприятия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100%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МКД (по жильцам)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95.42%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ИЖС (частные дома)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99,07%</w:t>
            </w:r>
            <w:r/>
          </w:p>
        </w:tc>
      </w:tr>
      <w:tr>
        <w:trPr>
          <w:trHeight w:val="489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Бюджетные учреждения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99,99%</w:t>
            </w:r>
            <w:r/>
          </w:p>
        </w:tc>
      </w:tr>
      <w:tr>
        <w:trPr>
          <w:trHeight w:val="29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tcW w:w="3373" w:type="dxa"/>
            <w:vAlign w:val="center"/>
            <w:vMerge w:val="continue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29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Прочие потребители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34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100%</w:t>
            </w:r>
            <w:r/>
          </w:p>
        </w:tc>
      </w:tr>
    </w:tbl>
    <w:p>
      <w:pPr>
        <w:pStyle w:val="867"/>
        <w:jc w:val="center"/>
        <w:spacing w:after="0" w:line="240" w:lineRule="auto"/>
        <w:rPr>
          <w:b/>
          <w:sz w:val="28"/>
          <w:szCs w:val="28"/>
        </w:rPr>
        <w:outlineLvl w:val="0"/>
      </w:pPr>
      <w:r/>
      <w:bookmarkStart w:id="16" w:name="_Toc533014794"/>
      <w:r/>
      <w:r/>
    </w:p>
    <w:p>
      <w:pPr>
        <w:pStyle w:val="867"/>
        <w:jc w:val="center"/>
        <w:spacing w:after="0" w:line="240" w:lineRule="auto"/>
        <w:rPr>
          <w:b/>
          <w:sz w:val="28"/>
          <w:szCs w:val="28"/>
        </w:rPr>
        <w:outlineLvl w:val="0"/>
      </w:pPr>
      <w:r>
        <w:rPr>
          <w:b/>
          <w:sz w:val="28"/>
          <w:szCs w:val="28"/>
        </w:rPr>
        <w:t xml:space="preserve">3. Перспективы развития муниципального образования и прогноз спроса на коммунальные ресурсы</w:t>
      </w:r>
      <w:bookmarkEnd w:id="16"/>
      <w:r/>
      <w:r/>
    </w:p>
    <w:p>
      <w:pPr>
        <w:pStyle w:val="867"/>
        <w:jc w:val="both"/>
        <w:spacing w:after="0" w:line="240" w:lineRule="auto"/>
        <w:rPr>
          <w:b/>
        </w:rPr>
      </w:pPr>
      <w:r>
        <w:rPr>
          <w:b/>
        </w:rPr>
      </w:r>
      <w:r/>
    </w:p>
    <w:p>
      <w:pPr>
        <w:pStyle w:val="867"/>
        <w:jc w:val="center"/>
        <w:spacing w:after="0" w:line="240" w:lineRule="auto"/>
        <w:rPr>
          <w:b/>
          <w:sz w:val="28"/>
          <w:szCs w:val="28"/>
        </w:rPr>
        <w:outlineLvl w:val="1"/>
      </w:pPr>
      <w:r/>
      <w:bookmarkStart w:id="17" w:name="_Toc533014795"/>
      <w:r>
        <w:rPr>
          <w:b/>
          <w:sz w:val="28"/>
          <w:szCs w:val="28"/>
        </w:rPr>
        <w:t xml:space="preserve">3.1 Перспективные показатели развития муниципального образования</w:t>
      </w:r>
      <w:bookmarkEnd w:id="17"/>
      <w:r/>
      <w:r/>
    </w:p>
    <w:p>
      <w:pPr>
        <w:pStyle w:val="867"/>
        <w:jc w:val="center"/>
        <w:spacing w:after="0" w:line="240" w:lineRule="auto"/>
        <w:rPr>
          <w:b/>
          <w:sz w:val="28"/>
          <w:szCs w:val="28"/>
        </w:rPr>
        <w:outlineLvl w:val="1"/>
      </w:pPr>
      <w:r>
        <w:rPr>
          <w:b/>
          <w:sz w:val="28"/>
          <w:szCs w:val="28"/>
        </w:rPr>
      </w:r>
      <w:r/>
    </w:p>
    <w:p>
      <w:pPr>
        <w:pStyle w:val="867"/>
        <w:ind w:firstLine="709"/>
        <w:jc w:val="both"/>
        <w:spacing w:after="0" w:line="240" w:lineRule="auto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Генеральным планом предусмотрены мероприятия по развитию зон жилой застройки с учётом проведения мероприятий по инженерной подготовке:</w:t>
      </w:r>
      <w:r/>
    </w:p>
    <w:p>
      <w:pPr>
        <w:pStyle w:val="867"/>
        <w:numPr>
          <w:ilvl w:val="0"/>
          <w:numId w:val="12"/>
        </w:numPr>
        <w:ind w:left="0" w:firstLine="709"/>
        <w:jc w:val="both"/>
        <w:spacing w:after="0" w:line="240" w:lineRule="auto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оздание более комфортных условий для проживания жилья;</w:t>
      </w:r>
      <w:r/>
    </w:p>
    <w:p>
      <w:pPr>
        <w:pStyle w:val="867"/>
        <w:numPr>
          <w:ilvl w:val="0"/>
          <w:numId w:val="12"/>
        </w:numPr>
        <w:ind w:left="0" w:firstLine="709"/>
        <w:jc w:val="both"/>
        <w:spacing w:after="0" w:line="240" w:lineRule="auto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величение темпов роста строительства;</w:t>
      </w:r>
      <w:r/>
    </w:p>
    <w:p>
      <w:pPr>
        <w:pStyle w:val="867"/>
        <w:numPr>
          <w:ilvl w:val="0"/>
          <w:numId w:val="12"/>
        </w:numPr>
        <w:ind w:left="0" w:firstLine="709"/>
        <w:jc w:val="both"/>
        <w:spacing w:after="0" w:line="240" w:lineRule="auto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величение объёмов строительства индивидуального жилья.</w:t>
      </w:r>
      <w:r/>
    </w:p>
    <w:p>
      <w:pPr>
        <w:pStyle w:val="867"/>
        <w:ind w:firstLine="709"/>
        <w:jc w:val="both"/>
        <w:spacing w:after="0" w:line="240" w:lineRule="auto"/>
        <w:tabs>
          <w:tab w:val="left" w:pos="993" w:leader="none"/>
        </w:tabs>
      </w:pPr>
      <w:r>
        <w:rPr>
          <w:sz w:val="28"/>
          <w:szCs w:val="28"/>
        </w:rPr>
        <w:t xml:space="preserve">Показатели развития жилого фонда муниципального образования представлены в таблице 50.</w:t>
      </w:r>
      <w:r/>
    </w:p>
    <w:p>
      <w:pPr>
        <w:pStyle w:val="867"/>
        <w:ind w:firstLine="567"/>
        <w:jc w:val="right"/>
        <w:spacing w:after="0" w:line="240" w:lineRule="auto"/>
      </w:pPr>
      <w:r/>
      <w:r/>
    </w:p>
    <w:p>
      <w:pPr>
        <w:pStyle w:val="867"/>
        <w:ind w:firstLine="567"/>
        <w:jc w:val="center"/>
        <w:spacing w:after="0" w:line="240" w:lineRule="auto"/>
        <w:rPr>
          <w:b/>
        </w:rPr>
        <w:sectPr>
          <w:footnotePr/>
          <w:endnotePr/>
          <w:type w:val="nextPage"/>
          <w:pgSz w:w="11906" w:h="16838" w:orient="portrait"/>
          <w:pgMar w:top="1134" w:right="851" w:bottom="1134" w:left="1418" w:header="708" w:footer="708" w:gutter="0"/>
          <w:cols w:num="1" w:sep="0" w:space="708" w:equalWidth="1"/>
          <w:docGrid w:linePitch="360"/>
        </w:sectPr>
      </w:pPr>
      <w:r>
        <w:rPr>
          <w:b/>
        </w:rPr>
      </w:r>
      <w:r/>
    </w:p>
    <w:p>
      <w:pPr>
        <w:pStyle w:val="867"/>
        <w:ind w:firstLine="567"/>
        <w:jc w:val="center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Показатели развития муниципального образования</w:t>
      </w:r>
      <w:r/>
    </w:p>
    <w:p>
      <w:pPr>
        <w:pStyle w:val="867"/>
        <w:ind w:firstLine="567"/>
        <w:jc w:val="center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867"/>
        <w:ind w:firstLine="567"/>
        <w:jc w:val="right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Таблица50</w:t>
      </w:r>
      <w:r/>
    </w:p>
    <w:p>
      <w:pPr>
        <w:pStyle w:val="867"/>
        <w:ind w:firstLine="567"/>
        <w:jc w:val="right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W w:w="5065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959"/>
        <w:gridCol w:w="3948"/>
        <w:gridCol w:w="1528"/>
        <w:gridCol w:w="2151"/>
        <w:gridCol w:w="1234"/>
        <w:gridCol w:w="1093"/>
        <w:gridCol w:w="4065"/>
      </w:tblGrid>
      <w:tr>
        <w:trPr>
          <w:tblHeader/>
        </w:trPr>
        <w:tc>
          <w:tcPr>
            <w:gridSpan w:val="2"/>
            <w:tcW w:w="163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Функциональные зоны</w:t>
            </w:r>
            <w:r/>
          </w:p>
        </w:tc>
        <w:tc>
          <w:tcPr>
            <w:gridSpan w:val="4"/>
            <w:tcW w:w="200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Параметры функциональных зон</w:t>
            </w:r>
            <w:r/>
          </w:p>
        </w:tc>
        <w:tc>
          <w:tcPr>
            <w:tcW w:w="135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Сведения о планируемых объектах</w:t>
            </w:r>
            <w:r/>
          </w:p>
        </w:tc>
      </w:tr>
      <w:tr>
        <w:trPr>
          <w:cantSplit/>
          <w:trHeight w:val="848"/>
          <w:tblHeader/>
        </w:trPr>
        <w:tc>
          <w:tcPr>
            <w:gridSpan w:val="2"/>
            <w:tcW w:w="1638" w:type="pct"/>
            <w:vAlign w:val="center"/>
            <w:vMerge w:val="continue"/>
            <w:textDirection w:val="btLr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tcBorders>
              <w:right w:val="single" w:color="auto" w:sz="4" w:space="0"/>
            </w:tcBorders>
            <w:tcW w:w="510" w:type="pct"/>
            <w:vAlign w:val="center"/>
            <w:vMerge w:val="restart"/>
            <w:textDirection w:val="lrTb"/>
            <w:noWrap w:val="false"/>
          </w:tcPr>
          <w:p>
            <w:pPr>
              <w:ind w:righ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</w:t>
            </w:r>
            <w:r>
              <w:rPr>
                <w:b/>
                <w:sz w:val="20"/>
                <w:szCs w:val="20"/>
              </w:rPr>
              <w:t xml:space="preserve">аксимально допустимый коэффициент застройки зоны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8" w:type="pct"/>
            <w:vAlign w:val="center"/>
            <w:vMerge w:val="restart"/>
            <w:textDirection w:val="lrTb"/>
            <w:noWrap w:val="false"/>
          </w:tcPr>
          <w:p>
            <w:pPr>
              <w:ind w:righ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максимальная 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 xml:space="preserve">и средняя этажность застройки зоны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2" w:type="pct"/>
            <w:vAlign w:val="center"/>
            <w:vMerge w:val="restart"/>
            <w:textDirection w:val="lrTb"/>
            <w:noWrap w:val="false"/>
          </w:tcPr>
          <w:p>
            <w:pPr>
              <w:ind w:right="34"/>
              <w:jc w:val="center"/>
              <w:widowControl w:val="o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</w:t>
            </w:r>
            <w:r>
              <w:rPr>
                <w:b/>
                <w:sz w:val="20"/>
                <w:szCs w:val="20"/>
              </w:rPr>
              <w:t xml:space="preserve">лотность населения,</w:t>
            </w:r>
            <w:r/>
          </w:p>
          <w:p>
            <w:pPr>
              <w:ind w:righ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чел/га</w:t>
            </w:r>
            <w:r/>
          </w:p>
        </w:tc>
        <w:tc>
          <w:tcPr>
            <w:tcBorders>
              <w:left w:val="single" w:color="auto" w:sz="4" w:space="0"/>
            </w:tcBorders>
            <w:tcW w:w="365" w:type="pct"/>
            <w:vAlign w:val="center"/>
            <w:vMerge w:val="restart"/>
            <w:textDirection w:val="lrTb"/>
            <w:noWrap w:val="false"/>
          </w:tcPr>
          <w:p>
            <w:pPr>
              <w:ind w:righ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</w:t>
            </w:r>
            <w:r>
              <w:rPr>
                <w:b/>
                <w:sz w:val="20"/>
                <w:szCs w:val="20"/>
              </w:rPr>
              <w:t xml:space="preserve">лощадь зоны, га</w:t>
            </w:r>
            <w:r/>
          </w:p>
        </w:tc>
        <w:tc>
          <w:tcPr>
            <w:tcW w:w="135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</w:tr>
      <w:tr>
        <w:trPr>
          <w:cantSplit/>
          <w:trHeight w:val="60"/>
          <w:tblHeader/>
        </w:trPr>
        <w:tc>
          <w:tcPr>
            <w:gridSpan w:val="2"/>
            <w:tcW w:w="163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Наименование функциональной зоны</w:t>
            </w:r>
            <w:r/>
          </w:p>
        </w:tc>
        <w:tc>
          <w:tcPr>
            <w:tcBorders>
              <w:right w:val="single" w:color="auto" w:sz="4" w:space="0"/>
            </w:tcBorders>
            <w:tcW w:w="510" w:type="pct"/>
            <w:vAlign w:val="center"/>
            <w:vMerge w:val="continue"/>
            <w:textDirection w:val="btLr"/>
            <w:noWrap w:val="false"/>
          </w:tcPr>
          <w:p>
            <w:pPr>
              <w:ind w:left="113" w:righ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8" w:type="pct"/>
            <w:vAlign w:val="center"/>
            <w:vMerge w:val="continue"/>
            <w:textDirection w:val="btLr"/>
            <w:noWrap w:val="false"/>
          </w:tcPr>
          <w:p>
            <w:pPr>
              <w:ind w:left="113" w:righ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2" w:type="pct"/>
            <w:vAlign w:val="center"/>
            <w:vMerge w:val="continue"/>
            <w:textDirection w:val="btLr"/>
            <w:noWrap w:val="false"/>
          </w:tcPr>
          <w:p>
            <w:pPr>
              <w:ind w:left="113" w:right="34"/>
              <w:jc w:val="center"/>
              <w:widowControl w:val="o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tcBorders>
              <w:left w:val="single" w:color="auto" w:sz="4" w:space="0"/>
            </w:tcBorders>
            <w:tcW w:w="365" w:type="pct"/>
            <w:vAlign w:val="center"/>
            <w:vMerge w:val="continue"/>
            <w:textDirection w:val="btLr"/>
            <w:noWrap w:val="false"/>
          </w:tcPr>
          <w:p>
            <w:pPr>
              <w:ind w:left="113" w:righ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tcW w:w="135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</w:tr>
      <w:tr>
        <w:trPr>
          <w:trHeight w:val="568"/>
        </w:trPr>
        <w:tc>
          <w:tcPr>
            <w:tcW w:w="320" w:type="pct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градостроительного использования</w:t>
            </w:r>
            <w:r/>
          </w:p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границах населённого пункта</w:t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застройки индивидуальными жилыми домами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(Ж1)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0,4</w:t>
            </w:r>
            <w:r/>
          </w:p>
        </w:tc>
        <w:tc>
          <w:tcPr>
            <w:tcBorders>
              <w:top w:val="single" w:color="auto" w:sz="4" w:space="0"/>
            </w:tcBorders>
            <w:tcW w:w="7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Максимальная этажность -3 этажа, средняя этажность –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этажа.</w:t>
            </w:r>
            <w:r/>
          </w:p>
        </w:tc>
        <w:tc>
          <w:tcPr>
            <w:tcBorders>
              <w:top w:val="single" w:color="auto" w:sz="4" w:space="0"/>
            </w:tcBorders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5174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тротуаров, строительство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 реконструкция сетей водоснабжения.</w:t>
            </w:r>
            <w:r/>
          </w:p>
        </w:tc>
      </w:tr>
      <w:tr>
        <w:trPr>
          <w:trHeight w:val="568"/>
        </w:trPr>
        <w:tc>
          <w:tcPr>
            <w:tcW w:w="320" w:type="pct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застройки малоэтажными жилыми домами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(до 4 этажей, включая мансардный)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(Ж2)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0,6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Максимальная этажность - 4 этажа, включая мансардный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130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тротуаров, строительство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реконструкция сетей водоснабжения.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производственного использования </w:t>
            </w:r>
            <w:r/>
          </w:p>
          <w:p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(П)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0,8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Максимальная этажность -3 этажа, средняя этажность – </w:t>
            </w:r>
            <w:r/>
          </w:p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этажа.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инженерной инфраструктуры</w:t>
            </w:r>
            <w:r/>
          </w:p>
          <w:p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(И)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сетей водоснабжения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Ремонт и реконструкция котельных.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очистных сооружений канализации и напорных коллекторов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ind w:left="82" w:right="-108" w:hanging="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транспортной инфраструктуры </w:t>
            </w:r>
            <w:r/>
          </w:p>
          <w:p>
            <w:pPr>
              <w:ind w:left="82" w:right="-108" w:hanging="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(Т)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120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Капитальный ремонт автомобильных дорог местного значения и искусственных сооружений на них с размещением дорожных знаков и указателей на улицах населённых пунктов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ind w:left="82" w:right="-108" w:hanging="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Зоны сельскохозяйственного использования (Сх)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1645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ind w:left="82" w:right="-108" w:hanging="8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  <w:p>
            <w:pPr>
              <w:ind w:left="82" w:right="-108" w:hanging="8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Производственная зона сельскохозяйственных предприятий (СхП)</w:t>
            </w:r>
            <w:r/>
          </w:p>
          <w:p>
            <w:pPr>
              <w:ind w:left="82" w:right="-108" w:hanging="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  <w:p>
            <w:pPr>
              <w:ind w:left="82" w:right="-108" w:hanging="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0,8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Максимальная этажность -3 этажа, средняя этажность – </w:t>
            </w:r>
            <w:r/>
          </w:p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этажа.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ind w:left="82" w:right="-108" w:hanging="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Иные зоны сельскохозяйственного назначения </w:t>
            </w:r>
            <w:r/>
          </w:p>
          <w:p>
            <w:pPr>
              <w:ind w:left="82" w:right="-108" w:hanging="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(СхО)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75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>
          <w:trHeight w:val="1072"/>
        </w:trPr>
        <w:tc>
          <w:tcPr>
            <w:tcW w:w="32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рекреационного назначения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(Р)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Максимальная этажность - 1 этажа, средняя этажность – </w:t>
            </w:r>
            <w:r/>
          </w:p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этажа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3341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>
          <w:trHeight w:val="85"/>
        </w:trPr>
        <w:tc>
          <w:tcPr>
            <w:tcW w:w="32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акваторий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131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специального назначения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(Сп)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кладбищ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(Ск)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70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складирования и захоронения отходов (Со)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/>
        <w:tc>
          <w:tcPr>
            <w:tcW w:w="320" w:type="pct"/>
            <w:vAlign w:val="center"/>
            <w:vMerge w:val="restart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градостроительного использования</w:t>
            </w:r>
            <w:r/>
          </w:p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границами населённого пункта</w:t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производственного использования (П)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32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инженерной инфраструктуры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транспортной инфраструктуры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437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Ремонт автомобильных дорог, мостов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и путепроводов.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сельскохозяйственных угодий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ind w:left="-240" w:right="-1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58474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Производственная зона сельскохозяйственных предприятий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349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Иные зоны сельскохозяйственного назначения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61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лесов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ind w:left="-240" w:right="-1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14070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рекреационного назначения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605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акваторий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1012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специального назначения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409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кладбищ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  <w:tr>
        <w:trPr/>
        <w:tc>
          <w:tcPr>
            <w:tcW w:w="320" w:type="pct"/>
            <w:vAlign w:val="center"/>
            <w:vMerge w:val="continue"/>
            <w:textDirection w:val="btLr"/>
            <w:noWrap w:val="false"/>
          </w:tcPr>
          <w:p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131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складирования и захоронения отходов</w:t>
            </w:r>
            <w:r/>
          </w:p>
        </w:tc>
        <w:tc>
          <w:tcPr>
            <w:tcW w:w="51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718" w:type="pct"/>
            <w:vAlign w:val="center"/>
            <w:textDirection w:val="lrTb"/>
            <w:noWrap w:val="false"/>
          </w:tcPr>
          <w:p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41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  <w:tc>
          <w:tcPr>
            <w:tcW w:w="36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34</w:t>
            </w:r>
            <w:r/>
          </w:p>
        </w:tc>
        <w:tc>
          <w:tcPr>
            <w:tcW w:w="135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---</w:t>
            </w:r>
            <w:r/>
          </w:p>
        </w:tc>
      </w:tr>
    </w:tbl>
    <w:p>
      <w:pPr>
        <w:pStyle w:val="867"/>
        <w:ind w:firstLine="567"/>
        <w:jc w:val="both"/>
        <w:spacing w:after="0" w:line="240" w:lineRule="auto"/>
        <w:sectPr>
          <w:footnotePr/>
          <w:endnotePr/>
          <w:type w:val="nextPage"/>
          <w:pgSz w:w="16838" w:h="11906" w:orient="landscape"/>
          <w:pgMar w:top="851" w:right="1134" w:bottom="1418" w:left="1134" w:header="709" w:footer="709" w:gutter="0"/>
          <w:cols w:num="1" w:sep="0" w:space="708" w:equalWidth="1"/>
          <w:docGrid w:linePitch="360"/>
        </w:sectPr>
      </w:pPr>
      <w:r/>
      <w:r/>
    </w:p>
    <w:p>
      <w:pPr>
        <w:pStyle w:val="867"/>
        <w:ind w:firstLine="709"/>
        <w:jc w:val="bot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Генеральным планом муниципального образования предусмотрены мероприятия по развитию и реконструкции жилых территорий.</w:t>
      </w:r>
      <w:r/>
    </w:p>
    <w:p>
      <w:pPr>
        <w:pStyle w:val="867"/>
        <w:ind w:firstLine="709"/>
        <w:jc w:val="bot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 реконструкции районов с преобладанием сложившейся капитальной жилой застройки следует предусматривать упорядочение планировочной</w:t>
      </w:r>
      <w:r>
        <w:rPr>
          <w:sz w:val="28"/>
          <w:szCs w:val="28"/>
        </w:rPr>
        <w:t xml:space="preserve"> структуры и сети улиц, совершенствование системы общественного обслуживания, озеленения и благоустройства территории, максимальное сохранение своеобразия архитектурного облика жилых и общественных зданий, их модернизацию и капитальный ремонт, реставрацию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приспособление под современное использование.</w:t>
      </w:r>
      <w:r/>
    </w:p>
    <w:p>
      <w:pPr>
        <w:pStyle w:val="867"/>
        <w:ind w:firstLine="709"/>
        <w:jc w:val="bot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Объемы сохраняемого или подлежащего сносу жилищного фонда следует определять в установленном порядке с учетом его экономической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исторической ценности, технического состояния, максимального сохранения жилищного фонда, пригодного для проживания, и сложившейся исторической среды.</w:t>
      </w:r>
      <w:r/>
    </w:p>
    <w:p>
      <w:pPr>
        <w:pStyle w:val="867"/>
        <w:ind w:firstLine="709"/>
        <w:jc w:val="bot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 комплексной реконструкции сложившейся застройки допускается при </w:t>
      </w:r>
      <w:r>
        <w:rPr>
          <w:sz w:val="28"/>
          <w:szCs w:val="28"/>
        </w:rPr>
        <w:t xml:space="preserve">соответствующем обосновании уточнять нормативные требования заданием на проектирование по согласованию с местными органами архитектуры, государственного надзора и санитарной инспекции. При этом необходимо обеспечивать снижение пожарной опасности застройки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улучшение санитарно-гигиенических условий проживания населения</w:t>
      </w:r>
      <w:r>
        <w:rPr>
          <w:sz w:val="28"/>
          <w:szCs w:val="28"/>
        </w:rPr>
        <w:t xml:space="preserve">.</w:t>
      </w:r>
      <w:r/>
    </w:p>
    <w:p>
      <w:pPr>
        <w:pStyle w:val="867"/>
        <w:ind w:firstLine="708"/>
        <w:jc w:val="both"/>
        <w:spacing w:after="0" w:line="240" w:lineRule="auto"/>
      </w:pPr>
      <w:r/>
      <w:r/>
    </w:p>
    <w:p>
      <w:pPr>
        <w:pStyle w:val="867"/>
        <w:ind w:firstLine="708"/>
        <w:jc w:val="both"/>
        <w:spacing w:after="0" w:line="240" w:lineRule="auto"/>
      </w:pPr>
      <w:r/>
      <w:r/>
    </w:p>
    <w:p>
      <w:pPr>
        <w:pStyle w:val="867"/>
        <w:jc w:val="both"/>
        <w:spacing w:after="0" w:line="240" w:lineRule="auto"/>
        <w:rPr>
          <w:b/>
        </w:rPr>
        <w:sectPr>
          <w:footnotePr/>
          <w:endnotePr/>
          <w:type w:val="nextPage"/>
          <w:pgSz w:w="11906" w:h="16838" w:orient="portrait"/>
          <w:pgMar w:top="1134" w:right="851" w:bottom="1134" w:left="1418" w:header="708" w:footer="708" w:gutter="0"/>
          <w:cols w:num="1" w:sep="0" w:space="708" w:equalWidth="1"/>
          <w:docGrid w:linePitch="360"/>
        </w:sectPr>
        <w:outlineLvl w:val="1"/>
      </w:pPr>
      <w:r>
        <w:rPr>
          <w:b/>
        </w:rPr>
      </w:r>
      <w:r/>
    </w:p>
    <w:p>
      <w:pPr>
        <w:pStyle w:val="867"/>
        <w:jc w:val="center"/>
        <w:spacing w:after="0" w:line="240" w:lineRule="auto"/>
        <w:rPr>
          <w:b/>
          <w:sz w:val="28"/>
          <w:szCs w:val="28"/>
        </w:rPr>
        <w:outlineLvl w:val="1"/>
      </w:pPr>
      <w:r/>
      <w:bookmarkStart w:id="18" w:name="_Toc533014796"/>
      <w:r>
        <w:rPr>
          <w:b/>
          <w:sz w:val="28"/>
          <w:szCs w:val="28"/>
        </w:rPr>
        <w:t xml:space="preserve">3.2 Прогноз спроса на коммунальные услуги</w:t>
      </w:r>
      <w:bookmarkEnd w:id="18"/>
      <w:r/>
      <w:r/>
    </w:p>
    <w:p>
      <w:pPr>
        <w:pStyle w:val="867"/>
        <w:jc w:val="center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867"/>
        <w:jc w:val="center"/>
        <w:spacing w:after="0" w:line="240" w:lineRule="auto"/>
        <w:rPr>
          <w:b/>
          <w:sz w:val="28"/>
          <w:szCs w:val="28"/>
        </w:rPr>
        <w:outlineLvl w:val="2"/>
      </w:pPr>
      <w:r/>
      <w:bookmarkStart w:id="19" w:name="_Toc533014797"/>
      <w:r>
        <w:rPr>
          <w:b/>
          <w:sz w:val="28"/>
          <w:szCs w:val="28"/>
        </w:rPr>
        <w:t xml:space="preserve">3.2.1. Прогноз спроса на услуги по теплоснабжению</w:t>
      </w:r>
      <w:bookmarkEnd w:id="19"/>
      <w:r/>
      <w:r/>
    </w:p>
    <w:p>
      <w:pPr>
        <w:pStyle w:val="867"/>
        <w:jc w:val="center"/>
        <w:spacing w:after="0" w:line="240" w:lineRule="auto"/>
        <w:rPr>
          <w:b/>
          <w:sz w:val="28"/>
          <w:szCs w:val="28"/>
        </w:rPr>
        <w:outlineLvl w:val="2"/>
      </w:pPr>
      <w:r>
        <w:rPr>
          <w:b/>
          <w:sz w:val="28"/>
          <w:szCs w:val="28"/>
        </w:rPr>
      </w:r>
      <w:r/>
    </w:p>
    <w:p>
      <w:pPr>
        <w:pStyle w:val="867"/>
        <w:ind w:firstLine="709"/>
        <w:jc w:val="bot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Значения прогнозируемых тепловых нагрузок приведены в таблице 51. </w:t>
      </w:r>
      <w:r/>
    </w:p>
    <w:p>
      <w:pPr>
        <w:pStyle w:val="867"/>
        <w:jc w:val="bot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Тепловые нагрузки потребителей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Грайворонского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городского округа</w: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51</w:t>
      </w:r>
      <w:r/>
    </w:p>
    <w:p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803"/>
        <w:gridCol w:w="2392"/>
        <w:gridCol w:w="2395"/>
        <w:gridCol w:w="966"/>
        <w:gridCol w:w="966"/>
        <w:gridCol w:w="966"/>
        <w:gridCol w:w="966"/>
        <w:gridCol w:w="966"/>
        <w:gridCol w:w="1083"/>
      </w:tblGrid>
      <w:tr>
        <w:trPr>
          <w:trHeight w:val="20"/>
          <w:tblHeader/>
        </w:trPr>
        <w:tc>
          <w:tcPr>
            <w:shd w:val="clear" w:color="auto" w:fill="auto"/>
            <w:tcW w:w="118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Наименование теплоисточника</w:t>
            </w:r>
            <w:r/>
          </w:p>
        </w:tc>
        <w:tc>
          <w:tcPr>
            <w:tcW w:w="95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Адрес теплоисточника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Вид теплопотребления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2019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2020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2021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2022</w:t>
            </w:r>
            <w:r/>
          </w:p>
        </w:tc>
        <w:tc>
          <w:tcPr>
            <w:tcW w:w="321" w:type="pct"/>
            <w:textDirection w:val="lrTb"/>
            <w:noWrap w:val="false"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2023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spacing w:after="100" w:afterAutospacing="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2024-2038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Луначарского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Грайворон,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Луначарского, 62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369,9875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369,9875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369,9875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369,9875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369,9875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369,9875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43,75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43,75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43,75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43,75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43,75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43,75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ПНИ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Грайворон,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Урицкого, 92/1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218,625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218,625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218,625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218,625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218,625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218,625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24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Шухова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Грайворон,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Мира, 61в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213,5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213,5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213,5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213,5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213,5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213,5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ОПБ ТКУ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Грайворон,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Тарана, 2-Г/1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57,5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57,5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57,5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57,5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11,5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11,5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11,5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11,5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15,5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15,5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15,5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15,5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с. Замостье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с. Замостье,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ул. Добросельская, 21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9,5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Головчино (Поселок)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Головчино,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Смирнова, 37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80,875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80,875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80,875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80,875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80,875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80,875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26,75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26,75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26,75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26,75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26,75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26,75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Головчино ТКУ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Головчино, ул.Смирнова, 2Г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60,5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60,5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60,5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60,5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Головчино (Больница)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Головчино,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 Смирнова, 3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21,875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21,875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21,875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21,875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21,875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21,875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Горьковский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Горьковский,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Молодёжная, 21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36,375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36,375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36,375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36,375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36,375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36,375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Доброе (школа)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Доброе,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Грайворонская, 18а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22,125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22,125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22,125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22,125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22,125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22,125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16,625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16,625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16,625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16,625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16,625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16,625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с.Безымено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Безымено,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Октябрьская, 77К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82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82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82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82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82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82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с.Гора-Подол (школа)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с.Гора-Подол, </w:t>
            </w:r>
            <w:r/>
          </w:p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Борисенко, 48 е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56,625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56,625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56,625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56,625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56,625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56,625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с.Гора-Подол (администрация)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с.Гора-Подол,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Борисенко, 45/1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3,875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3,875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3,875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3,875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3,875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3,875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с.Козинка (ТКУ)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Козинка,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Центральная, 18/1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109,875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109,875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109,875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109,875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109,875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109,875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Кирпичный завод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Гора-Подол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Кирпичный завод, 10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W w:w="1187" w:type="pct"/>
            <w:vAlign w:val="center"/>
            <w:vMerge w:val="restart"/>
            <w:textDirection w:val="lrTb"/>
            <w:noWrap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Смородино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Смородино,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</w:t>
            </w:r>
            <w:r>
              <w:rPr>
                <w:sz w:val="20"/>
                <w:szCs w:val="20"/>
              </w:rPr>
              <w:t xml:space="preserve">л. Выгон, 57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40,625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40,625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40,625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40,625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40,625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40,625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Администрация округа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Грайворон,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Комсомольская, 21/2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41,625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41,625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41,625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41,625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41,625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41,625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Мокрая Орловка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Мокрая Орловка,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Центральная, 45а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Дорогощь (школа)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Дорогощь,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Первомайская, 10Г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23,5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23,5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23,5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23,5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23,5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с. Дорогощь (администрация)</w:t>
            </w:r>
            <w:r/>
          </w:p>
        </w:tc>
        <w:tc>
          <w:tcPr>
            <w:tcW w:w="95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Дорогощь, </w:t>
            </w:r>
            <w:r/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Песчаная, 2Б</w:t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3,875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3,875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3,875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3,875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3,875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3,875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ГВС,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W w:w="118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tcW w:w="95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954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Вентиляция, м</w:t>
            </w:r>
            <w:r>
              <w:rPr>
                <w:color w:val="000000"/>
                <w:sz w:val="20"/>
                <w:szCs w:val="20"/>
                <w:vertAlign w:val="superscript"/>
              </w:rPr>
              <w:t xml:space="preserve">3</w:t>
            </w:r>
            <w:r>
              <w:rPr>
                <w:color w:val="000000"/>
                <w:sz w:val="20"/>
                <w:szCs w:val="20"/>
              </w:rPr>
              <w:t xml:space="preserve">/час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07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0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W w:w="32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3" w:type="pct"/>
            <w:vAlign w:val="center"/>
            <w:textDirection w:val="lrTb"/>
            <w:noWrap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</w:tbl>
    <w:p>
      <w:pPr>
        <w:ind w:firstLine="709"/>
      </w:pPr>
      <w:r/>
      <w:r/>
    </w:p>
    <w:p>
      <w:pPr>
        <w:ind w:firstLine="709"/>
      </w:pPr>
      <w:r/>
      <w:r/>
    </w:p>
    <w:p>
      <w:pPr>
        <w:jc w:val="both"/>
        <w:sectPr>
          <w:footnotePr/>
          <w:endnotePr/>
          <w:type w:val="nextPage"/>
          <w:pgSz w:w="16838" w:h="11906" w:orient="landscape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/>
      <w:r/>
    </w:p>
    <w:p>
      <w:pPr>
        <w:pStyle w:val="805"/>
        <w:jc w:val="center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/>
      <w:bookmarkStart w:id="20" w:name="_Toc533014868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3.2.2. Прогноз спроса на услуги водоснабжения</w:t>
      </w:r>
      <w:bookmarkEnd w:id="20"/>
      <w:r/>
      <w:r/>
    </w:p>
    <w:p>
      <w:pPr>
        <w:rPr>
          <w:lang w:eastAsia="en-US"/>
        </w:rPr>
      </w:pPr>
      <w:r>
        <w:rPr>
          <w:lang w:eastAsia="en-US"/>
        </w:rPr>
      </w:r>
      <w:r/>
    </w:p>
    <w:p>
      <w:pPr>
        <w:pStyle w:val="867"/>
        <w:ind w:firstLine="708"/>
        <w:jc w:val="bot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Перспективный баланс услуги водоснабжения в муниципальном </w:t>
      </w:r>
      <w:r>
        <w:rPr>
          <w:sz w:val="28"/>
          <w:szCs w:val="28"/>
        </w:rPr>
        <w:t xml:space="preserve">образовании представлен с учетом прогноза численности населения, степени обеспеченности населения централизованной услугой водоснабжения, реализации мероприятий по энергосбережению. Перспективный баланс водоснабжения муниципального образования представлен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таблице 52.</w:t>
      </w:r>
      <w:r/>
    </w:p>
    <w:p>
      <w:pPr>
        <w:pStyle w:val="867"/>
        <w:ind w:firstLine="708"/>
        <w:jc w:val="center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867"/>
        <w:ind w:firstLine="708"/>
        <w:jc w:val="center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Перспективный баланс водоснабжения ГУП «Белоблводоканал»</w:t>
      </w:r>
      <w:r/>
    </w:p>
    <w:p>
      <w:pPr>
        <w:pStyle w:val="867"/>
        <w:jc w:val="right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52</w:t>
      </w:r>
      <w:r/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103"/>
        <w:gridCol w:w="851"/>
        <w:gridCol w:w="1134"/>
        <w:gridCol w:w="1134"/>
        <w:gridCol w:w="1274"/>
        <w:gridCol w:w="1656"/>
        <w:gridCol w:w="1924"/>
        <w:gridCol w:w="1922"/>
      </w:tblGrid>
      <w:tr>
        <w:trPr>
          <w:jc w:val="center"/>
          <w:trHeight w:val="35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b/>
                <w:bCs/>
                <w:sz w:val="20"/>
                <w:szCs w:val="20"/>
                <w:lang w:val="en-US"/>
              </w:rPr>
              <w:t xml:space="preserve">№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b/>
                <w:spacing w:val="-1"/>
                <w:sz w:val="20"/>
                <w:szCs w:val="20"/>
                <w:lang w:val="en-US"/>
              </w:rPr>
              <w:t xml:space="preserve">Наименование</w:t>
            </w:r>
            <w:r>
              <w:rPr>
                <w:rFonts w:eastAsia="Calibri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pacing w:val="-1"/>
                <w:sz w:val="20"/>
                <w:szCs w:val="20"/>
                <w:lang w:val="en-US"/>
              </w:rPr>
              <w:t xml:space="preserve">показателей</w:t>
            </w:r>
            <w:r>
              <w:rPr>
                <w:rFonts w:eastAsia="Calibri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pacing w:val="-1"/>
                <w:sz w:val="20"/>
                <w:szCs w:val="20"/>
                <w:lang w:val="en-US"/>
              </w:rPr>
              <w:t xml:space="preserve">производственной</w:t>
            </w:r>
            <w:r>
              <w:rPr>
                <w:rFonts w:eastAsia="Calibri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pacing w:val="-1"/>
                <w:sz w:val="20"/>
                <w:szCs w:val="20"/>
                <w:lang w:val="en-US"/>
              </w:rPr>
              <w:t xml:space="preserve">деятельности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ind w:firstLine="57"/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b/>
                <w:spacing w:val="-2"/>
                <w:sz w:val="20"/>
                <w:szCs w:val="20"/>
                <w:lang w:val="en-US"/>
              </w:rPr>
              <w:t xml:space="preserve">Ед.</w:t>
            </w:r>
            <w:r>
              <w:rPr>
                <w:rFonts w:eastAsia="Calibri"/>
                <w:b/>
                <w:spacing w:val="-1"/>
                <w:sz w:val="20"/>
                <w:szCs w:val="20"/>
                <w:lang w:val="en-US"/>
              </w:rPr>
              <w:t xml:space="preserve">изм.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2019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2020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2021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2022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2023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2024</w:t>
            </w:r>
            <w:r>
              <w:rPr>
                <w:rFonts w:eastAsia="Calibri"/>
                <w:b/>
                <w:sz w:val="20"/>
                <w:szCs w:val="20"/>
                <w:lang w:val="en-US"/>
              </w:rPr>
              <w:t xml:space="preserve">-203</w:t>
            </w:r>
            <w:r>
              <w:rPr>
                <w:rFonts w:eastAsia="Calibri"/>
                <w:b/>
                <w:sz w:val="20"/>
                <w:szCs w:val="20"/>
              </w:rPr>
              <w:t xml:space="preserve">8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Объем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поднятой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воды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593,9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593,9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665,0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665,0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665,0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665,0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1"/>
                <w:sz w:val="20"/>
                <w:szCs w:val="20"/>
              </w:rPr>
              <w:t xml:space="preserve">Объем воды полученной 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со 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стороны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1"/>
                <w:sz w:val="20"/>
                <w:szCs w:val="20"/>
              </w:rPr>
              <w:t xml:space="preserve">Объем воды, используемой </w:t>
            </w:r>
            <w:r>
              <w:rPr>
                <w:rFonts w:eastAsia="Calibri"/>
                <w:sz w:val="20"/>
                <w:szCs w:val="20"/>
              </w:rPr>
              <w:t xml:space="preserve">на 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технологические 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нужды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2,8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1"/>
                <w:sz w:val="20"/>
                <w:szCs w:val="20"/>
              </w:rPr>
              <w:t xml:space="preserve">Объем воды, пропущенной через очистные сооружения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432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480,0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480,0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480,0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480,0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1"/>
                <w:sz w:val="20"/>
                <w:szCs w:val="20"/>
              </w:rPr>
              <w:t xml:space="preserve">Объем воды поданной </w:t>
            </w:r>
            <w:r>
              <w:rPr>
                <w:rFonts w:eastAsia="Calibri"/>
                <w:sz w:val="20"/>
                <w:szCs w:val="20"/>
              </w:rPr>
              <w:t xml:space="preserve">в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сеть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593,9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593,9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665,0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665,0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665,0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665,0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Потери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воды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val="en-US"/>
              </w:rPr>
              <w:t xml:space="preserve">в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сети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72,9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30,0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1"/>
                <w:sz w:val="20"/>
                <w:szCs w:val="20"/>
              </w:rPr>
              <w:t xml:space="preserve">Объем реализации воды, </w:t>
            </w:r>
            <w:r>
              <w:rPr>
                <w:rFonts w:eastAsia="Calibri"/>
                <w:sz w:val="20"/>
                <w:szCs w:val="20"/>
              </w:rPr>
              <w:t xml:space="preserve">в т.ч: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520,9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520,9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680,0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680,0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680,0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680,0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7.1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-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Отпущенной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воды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2"/>
                <w:sz w:val="20"/>
                <w:szCs w:val="20"/>
                <w:lang w:val="en-US"/>
              </w:rPr>
              <w:t xml:space="preserve">другим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водопроводом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7.2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-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Населению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2"/>
                <w:sz w:val="20"/>
                <w:szCs w:val="20"/>
                <w:lang w:val="en-US"/>
              </w:rPr>
              <w:t xml:space="preserve">по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приборам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3"/>
                <w:sz w:val="20"/>
                <w:szCs w:val="20"/>
                <w:lang w:val="en-US"/>
              </w:rPr>
              <w:t xml:space="preserve">учета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348,6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348,6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369,2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369,2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369,2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369,2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7.3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-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Населению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2"/>
                <w:sz w:val="20"/>
                <w:szCs w:val="20"/>
                <w:lang w:val="en-US"/>
              </w:rPr>
              <w:t xml:space="preserve">без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прибора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3"/>
                <w:sz w:val="20"/>
                <w:szCs w:val="20"/>
                <w:lang w:val="en-US"/>
              </w:rPr>
              <w:t xml:space="preserve">учета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67,9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67,9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65,8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7.4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Бюджетным организациям 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по 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приборам 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учета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64,2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69,9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69,9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7.5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Бюджетным организациям </w:t>
            </w:r>
            <w:r>
              <w:rPr>
                <w:rFonts w:eastAsia="Calibri"/>
                <w:spacing w:val="-2"/>
                <w:sz w:val="20"/>
                <w:szCs w:val="20"/>
              </w:rPr>
              <w:t xml:space="preserve">без 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прибора </w:t>
            </w:r>
            <w:r>
              <w:rPr>
                <w:rFonts w:eastAsia="Calibri"/>
                <w:spacing w:val="-3"/>
                <w:sz w:val="20"/>
                <w:szCs w:val="20"/>
              </w:rPr>
              <w:t xml:space="preserve">учета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1,5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7.</w:t>
            </w:r>
            <w:r>
              <w:rPr>
                <w:rFonts w:eastAsia="Calibri"/>
                <w:sz w:val="20"/>
                <w:szCs w:val="20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-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Прочим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потребителям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38,2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39,0</w:t>
            </w:r>
            <w:r/>
          </w:p>
        </w:tc>
      </w:tr>
      <w:tr>
        <w:trPr>
          <w:jc w:val="center"/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9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7.</w:t>
            </w:r>
            <w:r>
              <w:rPr>
                <w:rFonts w:eastAsia="Calibri"/>
                <w:sz w:val="20"/>
                <w:szCs w:val="20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7" w:type="pct"/>
            <w:vAlign w:val="center"/>
            <w:textDirection w:val="lrTb"/>
            <w:noWrap w:val="false"/>
          </w:tcPr>
          <w:p>
            <w:pPr>
              <w:ind w:left="179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-</w:t>
            </w:r>
            <w:r>
              <w:rPr>
                <w:rFonts w:eastAsia="Calibri"/>
                <w:spacing w:val="-1"/>
                <w:sz w:val="20"/>
                <w:szCs w:val="20"/>
                <w:lang w:val="en-US"/>
              </w:rPr>
              <w:t xml:space="preserve">Собственные</w:t>
            </w:r>
            <w:r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eastAsia="Calibri"/>
                <w:spacing w:val="-3"/>
                <w:sz w:val="20"/>
                <w:szCs w:val="20"/>
                <w:lang w:val="en-US"/>
              </w:rPr>
              <w:t xml:space="preserve">нужды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2" w:type="pct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0"/>
                <w:szCs w:val="20"/>
                <w:lang w:val="en-US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 xml:space="preserve">тыс.м</w:t>
            </w:r>
            <w:r>
              <w:rPr>
                <w:rFonts w:eastAsia="Calibri"/>
                <w:sz w:val="20"/>
                <w:szCs w:val="20"/>
                <w:vertAlign w:val="superscript"/>
                <w:lang w:val="en-US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8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3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8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</w:tr>
    </w:tbl>
    <w:p>
      <w:pPr>
        <w:pStyle w:val="867"/>
        <w:jc w:val="right"/>
      </w:pPr>
      <w:r/>
      <w:r/>
    </w:p>
    <w:p>
      <w:pPr>
        <w:rPr>
          <w:rFonts w:eastAsiaTheme="minorHAnsi"/>
          <w:lang w:eastAsia="en-US"/>
        </w:rPr>
      </w:pPr>
      <w:r>
        <w:br w:type="page"/>
      </w:r>
      <w:r/>
    </w:p>
    <w:p>
      <w:pPr>
        <w:pStyle w:val="867"/>
        <w:jc w:val="right"/>
      </w:pPr>
      <w:r/>
      <w:r/>
    </w:p>
    <w:p>
      <w:pPr>
        <w:pStyle w:val="867"/>
        <w:jc w:val="center"/>
        <w:spacing w:after="0" w:line="240" w:lineRule="auto"/>
        <w:rPr>
          <w:b/>
          <w:sz w:val="28"/>
          <w:szCs w:val="28"/>
        </w:rPr>
        <w:outlineLvl w:val="2"/>
      </w:pPr>
      <w:r/>
      <w:bookmarkStart w:id="21" w:name="_Toc533014869"/>
      <w:r>
        <w:rPr>
          <w:b/>
          <w:sz w:val="28"/>
          <w:szCs w:val="28"/>
        </w:rPr>
        <w:t xml:space="preserve">3.2.3. Прогноз спроса на услуги водоотведения</w:t>
      </w:r>
      <w:bookmarkEnd w:id="21"/>
      <w:r/>
      <w:r/>
    </w:p>
    <w:p>
      <w:pPr>
        <w:pStyle w:val="867"/>
        <w:jc w:val="center"/>
        <w:spacing w:after="0" w:line="240" w:lineRule="auto"/>
        <w:rPr>
          <w:b/>
          <w:sz w:val="28"/>
          <w:szCs w:val="28"/>
        </w:rPr>
        <w:outlineLvl w:val="2"/>
      </w:pPr>
      <w:r>
        <w:rPr>
          <w:b/>
          <w:sz w:val="28"/>
          <w:szCs w:val="28"/>
        </w:rPr>
      </w:r>
      <w:r/>
    </w:p>
    <w:p>
      <w:pPr>
        <w:pStyle w:val="867"/>
        <w:ind w:firstLine="708"/>
        <w:jc w:val="bot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Прогнозируемые объемы потребления услуги водоотведения населением Грайворонского городского округа с распределением по категориям представлены в таблице 53. </w:t>
      </w:r>
      <w:r/>
    </w:p>
    <w:p>
      <w:pPr>
        <w:pStyle w:val="867"/>
        <w:ind w:firstLine="708"/>
        <w:jc w:val="bot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7"/>
        <w:ind w:firstLine="708"/>
        <w:jc w:val="center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Прогнозируемые объемы потребления услуги водоотведения</w:t>
      </w:r>
      <w:r/>
    </w:p>
    <w:p>
      <w:pPr>
        <w:pStyle w:val="867"/>
        <w:ind w:firstLine="708"/>
        <w:jc w:val="right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7"/>
        <w:ind w:firstLine="708"/>
        <w:jc w:val="right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53</w:t>
      </w:r>
      <w:r/>
    </w:p>
    <w:p>
      <w:pPr>
        <w:pStyle w:val="867"/>
        <w:ind w:firstLine="708"/>
        <w:jc w:val="right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850"/>
        <w:gridCol w:w="5550"/>
        <w:gridCol w:w="1094"/>
        <w:gridCol w:w="1280"/>
        <w:gridCol w:w="1277"/>
        <w:gridCol w:w="1094"/>
        <w:gridCol w:w="1094"/>
        <w:gridCol w:w="1094"/>
        <w:gridCol w:w="1452"/>
      </w:tblGrid>
      <w:tr>
        <w:trPr>
          <w:trHeight w:val="690"/>
          <w:tblHeader/>
        </w:trPr>
        <w:tc>
          <w:tcPr>
            <w:shd w:val="clear" w:color="000000" w:fill="ffffff"/>
            <w:tcW w:w="28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/>
            <w:bookmarkStart w:id="22" w:name="_Toc533014870"/>
            <w:r>
              <w:rPr>
                <w:b/>
                <w:bCs/>
                <w:color w:val="000000"/>
                <w:sz w:val="18"/>
                <w:szCs w:val="18"/>
              </w:rPr>
              <w:t xml:space="preserve">№</w:t>
            </w:r>
            <w:r/>
          </w:p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п/п</w:t>
            </w:r>
            <w:r/>
          </w:p>
        </w:tc>
        <w:tc>
          <w:tcPr>
            <w:shd w:val="clear" w:color="000000" w:fill="ffffff"/>
            <w:tcW w:w="187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Наименование показателей производственной деятельности и статей затрат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Ед.</w:t>
            </w:r>
            <w:r/>
          </w:p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изм.</w:t>
            </w:r>
            <w:r/>
          </w:p>
        </w:tc>
        <w:tc>
          <w:tcPr>
            <w:shd w:val="clear" w:color="000000" w:fill="ffffff"/>
            <w:tcW w:w="43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2019</w:t>
            </w:r>
            <w:r/>
          </w:p>
        </w:tc>
        <w:tc>
          <w:tcPr>
            <w:shd w:val="clear" w:color="000000" w:fill="ffffff"/>
            <w:tcW w:w="43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2020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2021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2023</w:t>
            </w:r>
            <w:r/>
          </w:p>
        </w:tc>
        <w:tc>
          <w:tcPr>
            <w:shd w:val="clear" w:color="000000" w:fill="ffffff"/>
            <w:tcW w:w="491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4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-203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8</w:t>
            </w:r>
            <w:r/>
          </w:p>
        </w:tc>
      </w:tr>
      <w:tr>
        <w:trPr>
          <w:trHeight w:val="40"/>
        </w:trPr>
        <w:tc>
          <w:tcPr>
            <w:shd w:val="clear" w:color="000000" w:fill="ffffff"/>
            <w:tcW w:w="28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</w:t>
            </w:r>
            <w:r/>
          </w:p>
        </w:tc>
        <w:tc>
          <w:tcPr>
            <w:shd w:val="clear" w:color="000000" w:fill="ffffff"/>
            <w:tcW w:w="1877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Принято сточных вод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тыс. 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000000" w:fill="ffffff"/>
            <w:tcW w:w="43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117,8</w:t>
            </w:r>
            <w:r/>
          </w:p>
        </w:tc>
        <w:tc>
          <w:tcPr>
            <w:shd w:val="clear" w:color="000000" w:fill="ffffff"/>
            <w:tcW w:w="43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117,8</w:t>
            </w:r>
            <w:r/>
          </w:p>
        </w:tc>
        <w:tc>
          <w:tcPr>
            <w:shd w:val="clear" w:color="000000" w:fill="ffffff"/>
            <w:tcW w:w="37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121,54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103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103</w:t>
            </w:r>
            <w:r/>
          </w:p>
        </w:tc>
        <w:tc>
          <w:tcPr>
            <w:shd w:val="clear" w:color="000000" w:fill="ffffff"/>
            <w:tcW w:w="4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105,00</w:t>
            </w:r>
            <w:r/>
          </w:p>
        </w:tc>
      </w:tr>
      <w:tr>
        <w:trPr>
          <w:trHeight w:val="187"/>
        </w:trPr>
        <w:tc>
          <w:tcPr>
            <w:shd w:val="clear" w:color="000000" w:fill="ffffff"/>
            <w:tcW w:w="28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</w:t>
            </w:r>
            <w:r/>
          </w:p>
        </w:tc>
        <w:tc>
          <w:tcPr>
            <w:shd w:val="clear" w:color="000000" w:fill="ffffff"/>
            <w:tcW w:w="1877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Объем сточных вод, пропущенных через собственные очистные сооружения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тыс. 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000000" w:fill="ffffff"/>
            <w:tcW w:w="43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117,8</w:t>
            </w:r>
            <w:r/>
          </w:p>
        </w:tc>
        <w:tc>
          <w:tcPr>
            <w:shd w:val="clear" w:color="000000" w:fill="ffffff"/>
            <w:tcW w:w="43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117,8</w:t>
            </w:r>
            <w:r/>
          </w:p>
        </w:tc>
        <w:tc>
          <w:tcPr>
            <w:shd w:val="clear" w:color="000000" w:fill="ffffff"/>
            <w:tcW w:w="37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124,54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103,00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103,00</w:t>
            </w:r>
            <w:r/>
          </w:p>
        </w:tc>
        <w:tc>
          <w:tcPr>
            <w:shd w:val="clear" w:color="000000" w:fill="ffffff"/>
            <w:tcW w:w="4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105,00</w:t>
            </w:r>
            <w:r/>
          </w:p>
        </w:tc>
      </w:tr>
      <w:tr>
        <w:trPr>
          <w:trHeight w:val="40"/>
        </w:trPr>
        <w:tc>
          <w:tcPr>
            <w:shd w:val="clear" w:color="000000" w:fill="ffffff"/>
            <w:tcW w:w="28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</w:t>
            </w:r>
            <w:r/>
          </w:p>
        </w:tc>
        <w:tc>
          <w:tcPr>
            <w:shd w:val="clear" w:color="000000" w:fill="ffffff"/>
            <w:tcW w:w="1877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Объем сточных вод, переданных на очистку другим организациям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тыс. 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000000" w:fill="ffffff"/>
            <w:tcW w:w="43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000000" w:fill="ffffff"/>
            <w:tcW w:w="43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000000" w:fill="ffffff"/>
            <w:tcW w:w="37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000000" w:fill="ffffff"/>
            <w:tcW w:w="4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</w:tr>
      <w:tr>
        <w:trPr>
          <w:trHeight w:val="102"/>
        </w:trPr>
        <w:tc>
          <w:tcPr>
            <w:shd w:val="clear" w:color="000000" w:fill="ffffff"/>
            <w:tcW w:w="28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</w:t>
            </w:r>
            <w:r/>
          </w:p>
        </w:tc>
        <w:tc>
          <w:tcPr>
            <w:shd w:val="clear" w:color="000000" w:fill="ffffff"/>
            <w:tcW w:w="1877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Объем реализации услуг всего, в т.ч.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тыс. 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000000" w:fill="ffffff"/>
            <w:tcW w:w="43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117,8</w:t>
            </w:r>
            <w:r/>
          </w:p>
        </w:tc>
        <w:tc>
          <w:tcPr>
            <w:shd w:val="clear" w:color="000000" w:fill="ffffff"/>
            <w:tcW w:w="43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117,8</w:t>
            </w:r>
            <w:r/>
          </w:p>
        </w:tc>
        <w:tc>
          <w:tcPr>
            <w:shd w:val="clear" w:color="000000" w:fill="ffffff"/>
            <w:tcW w:w="37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124,54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103 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103 </w:t>
            </w:r>
            <w:r/>
          </w:p>
        </w:tc>
        <w:tc>
          <w:tcPr>
            <w:shd w:val="clear" w:color="000000" w:fill="ffffff"/>
            <w:tcW w:w="4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105,00</w:t>
            </w:r>
            <w:r/>
          </w:p>
        </w:tc>
      </w:tr>
      <w:tr>
        <w:trPr>
          <w:trHeight w:val="113"/>
        </w:trPr>
        <w:tc>
          <w:tcPr>
            <w:shd w:val="clear" w:color="000000" w:fill="ffffff"/>
            <w:tcW w:w="28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4.1</w:t>
            </w:r>
            <w:r/>
          </w:p>
        </w:tc>
        <w:tc>
          <w:tcPr>
            <w:shd w:val="clear" w:color="000000" w:fill="ffffff"/>
            <w:tcW w:w="1877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 принято от других канализаций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тыс. 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000000" w:fill="ffffff"/>
            <w:tcW w:w="43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000000" w:fill="ffffff"/>
            <w:tcW w:w="43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000000" w:fill="ffffff"/>
            <w:tcW w:w="37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000000" w:fill="ffffff"/>
            <w:tcW w:w="4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</w:tr>
      <w:tr>
        <w:trPr>
          <w:trHeight w:val="40"/>
        </w:trPr>
        <w:tc>
          <w:tcPr>
            <w:shd w:val="clear" w:color="000000" w:fill="ffffff"/>
            <w:tcW w:w="28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4.2</w:t>
            </w:r>
            <w:r/>
          </w:p>
        </w:tc>
        <w:tc>
          <w:tcPr>
            <w:shd w:val="clear" w:color="000000" w:fill="ffffff"/>
            <w:tcW w:w="1877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 населению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тыс. 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000000" w:fill="ffffff"/>
            <w:tcW w:w="43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74,0</w:t>
            </w:r>
            <w:r/>
          </w:p>
        </w:tc>
        <w:tc>
          <w:tcPr>
            <w:shd w:val="clear" w:color="000000" w:fill="ffffff"/>
            <w:tcW w:w="43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74,0</w:t>
            </w:r>
            <w:r/>
          </w:p>
        </w:tc>
        <w:tc>
          <w:tcPr>
            <w:shd w:val="clear" w:color="000000" w:fill="ffffff"/>
            <w:tcW w:w="370" w:type="pct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74,701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68,70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68,70</w:t>
            </w:r>
            <w:r/>
          </w:p>
        </w:tc>
        <w:tc>
          <w:tcPr>
            <w:shd w:val="clear" w:color="000000" w:fill="ffffff"/>
            <w:tcW w:w="4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70,70</w:t>
            </w:r>
            <w:r/>
          </w:p>
        </w:tc>
      </w:tr>
      <w:tr>
        <w:trPr>
          <w:trHeight w:val="40"/>
        </w:trPr>
        <w:tc>
          <w:tcPr>
            <w:shd w:val="clear" w:color="000000" w:fill="ffffff"/>
            <w:tcW w:w="28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4.3</w:t>
            </w:r>
            <w:r/>
          </w:p>
        </w:tc>
        <w:tc>
          <w:tcPr>
            <w:shd w:val="clear" w:color="000000" w:fill="ffffff"/>
            <w:tcW w:w="1877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 бюджетным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тыс. 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000000" w:fill="ffffff"/>
            <w:tcW w:w="43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39,6</w:t>
            </w:r>
            <w:r/>
          </w:p>
        </w:tc>
        <w:tc>
          <w:tcPr>
            <w:shd w:val="clear" w:color="000000" w:fill="ffffff"/>
            <w:tcW w:w="43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39,6</w:t>
            </w:r>
            <w:r/>
          </w:p>
        </w:tc>
        <w:tc>
          <w:tcPr>
            <w:shd w:val="clear" w:color="000000" w:fill="ffffff"/>
            <w:tcW w:w="370" w:type="pct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42,346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36,00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36,00</w:t>
            </w:r>
            <w:r/>
          </w:p>
        </w:tc>
        <w:tc>
          <w:tcPr>
            <w:shd w:val="clear" w:color="000000" w:fill="ffffff"/>
            <w:tcW w:w="4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38,00</w:t>
            </w:r>
            <w:r/>
          </w:p>
        </w:tc>
      </w:tr>
      <w:tr>
        <w:trPr>
          <w:trHeight w:val="40"/>
        </w:trPr>
        <w:tc>
          <w:tcPr>
            <w:shd w:val="clear" w:color="000000" w:fill="ffffff"/>
            <w:tcW w:w="28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4.4</w:t>
            </w:r>
            <w:r/>
          </w:p>
        </w:tc>
        <w:tc>
          <w:tcPr>
            <w:shd w:val="clear" w:color="000000" w:fill="ffffff"/>
            <w:tcW w:w="1877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 xml:space="preserve">собственные нужды предприятия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тыс. 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000000" w:fill="ffffff"/>
            <w:tcW w:w="43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000000" w:fill="ffffff"/>
            <w:tcW w:w="43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000000" w:fill="ffffff"/>
            <w:tcW w:w="370" w:type="pct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4,493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000000" w:fill="ffffff"/>
            <w:tcW w:w="4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</w:tr>
      <w:tr>
        <w:trPr>
          <w:trHeight w:val="94"/>
        </w:trPr>
        <w:tc>
          <w:tcPr>
            <w:shd w:val="clear" w:color="000000" w:fill="ffffff"/>
            <w:tcW w:w="28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4.5</w:t>
            </w:r>
            <w:r/>
          </w:p>
        </w:tc>
        <w:tc>
          <w:tcPr>
            <w:shd w:val="clear" w:color="000000" w:fill="ffffff"/>
            <w:tcW w:w="1877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 прочим потребителям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тыс. 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000000" w:fill="ffffff"/>
            <w:tcW w:w="43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4,2</w:t>
            </w:r>
            <w:r/>
          </w:p>
        </w:tc>
        <w:tc>
          <w:tcPr>
            <w:shd w:val="clear" w:color="000000" w:fill="ffffff"/>
            <w:tcW w:w="43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4,2</w:t>
            </w:r>
            <w:r/>
          </w:p>
        </w:tc>
        <w:tc>
          <w:tcPr>
            <w:shd w:val="clear" w:color="000000" w:fill="ffffff"/>
            <w:tcW w:w="37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  <w:tc>
          <w:tcPr>
            <w:shd w:val="clear" w:color="000000" w:fill="ffffff"/>
            <w:tcW w:w="4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0,00</w:t>
            </w:r>
            <w:r/>
          </w:p>
        </w:tc>
      </w:tr>
      <w:tr>
        <w:trPr>
          <w:trHeight w:val="375"/>
        </w:trPr>
        <w:tc>
          <w:tcPr>
            <w:shd w:val="clear" w:color="000000" w:fill="ffffff"/>
            <w:tcW w:w="28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4.6</w:t>
            </w:r>
            <w:r/>
          </w:p>
        </w:tc>
        <w:tc>
          <w:tcPr>
            <w:shd w:val="clear" w:color="000000" w:fill="ffffff"/>
            <w:tcW w:w="1877" w:type="pct"/>
            <w:vAlign w:val="center"/>
            <w:textDirection w:val="lrTb"/>
            <w:noWrap w:val="false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-ИТОГО принято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тыс. 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000000" w:fill="ffffff"/>
            <w:tcW w:w="43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117,8</w:t>
            </w:r>
            <w:r/>
          </w:p>
        </w:tc>
        <w:tc>
          <w:tcPr>
            <w:shd w:val="clear" w:color="000000" w:fill="ffffff"/>
            <w:tcW w:w="432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117,8</w:t>
            </w:r>
            <w:r/>
          </w:p>
        </w:tc>
        <w:tc>
          <w:tcPr>
            <w:shd w:val="clear" w:color="000000" w:fill="ffffff"/>
            <w:tcW w:w="37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124,54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103,00</w:t>
            </w:r>
            <w:r/>
          </w:p>
        </w:tc>
        <w:tc>
          <w:tcPr>
            <w:shd w:val="clear" w:color="000000" w:fill="ffffff"/>
            <w:tcW w:w="3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103,00</w:t>
            </w:r>
            <w:r/>
          </w:p>
        </w:tc>
        <w:tc>
          <w:tcPr>
            <w:shd w:val="clear" w:color="000000" w:fill="ffffff"/>
            <w:tcW w:w="49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105,00</w:t>
            </w:r>
            <w:r/>
          </w:p>
        </w:tc>
      </w:tr>
    </w:tbl>
    <w:p>
      <w:pPr>
        <w:pStyle w:val="867"/>
        <w:jc w:val="both"/>
        <w:spacing w:after="0" w:line="240" w:lineRule="auto"/>
        <w:rPr>
          <w:b/>
          <w:sz w:val="28"/>
          <w:szCs w:val="28"/>
        </w:rPr>
        <w:outlineLvl w:val="2"/>
      </w:pPr>
      <w:r>
        <w:rPr>
          <w:b/>
          <w:sz w:val="28"/>
          <w:szCs w:val="28"/>
        </w:rPr>
      </w:r>
      <w:r/>
    </w:p>
    <w:p>
      <w:pPr>
        <w:pStyle w:val="867"/>
        <w:jc w:val="center"/>
        <w:spacing w:after="0" w:line="240" w:lineRule="auto"/>
        <w:rPr>
          <w:b/>
          <w:sz w:val="28"/>
          <w:szCs w:val="28"/>
        </w:rPr>
        <w:outlineLvl w:val="2"/>
      </w:pPr>
      <w:r>
        <w:rPr>
          <w:b/>
          <w:sz w:val="28"/>
          <w:szCs w:val="28"/>
        </w:rPr>
        <w:t xml:space="preserve">3.2.4 Прогноз спроса на услуги электроснабжения</w:t>
      </w:r>
      <w:bookmarkEnd w:id="22"/>
      <w:r/>
      <w:r/>
    </w:p>
    <w:p>
      <w:pPr>
        <w:pStyle w:val="867"/>
        <w:ind w:firstLine="708"/>
        <w:jc w:val="bot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Данные о перспективном балансе электроснабжения муниципального образования отсутствуют.</w:t>
      </w:r>
      <w:r/>
    </w:p>
    <w:p>
      <w:pPr>
        <w:pStyle w:val="867"/>
        <w:jc w:val="center"/>
        <w:spacing w:after="0" w:line="240" w:lineRule="auto"/>
        <w:rPr>
          <w:b/>
          <w:sz w:val="28"/>
          <w:szCs w:val="28"/>
        </w:rPr>
        <w:outlineLvl w:val="2"/>
      </w:pPr>
      <w:r/>
      <w:bookmarkStart w:id="23" w:name="_Toc533014871"/>
      <w:r>
        <w:rPr>
          <w:b/>
          <w:sz w:val="28"/>
          <w:szCs w:val="28"/>
        </w:rPr>
        <w:t xml:space="preserve">3.2.5 Прогноз спроса на услуги газоснабжения</w:t>
      </w:r>
      <w:bookmarkEnd w:id="23"/>
      <w:r/>
      <w:r/>
    </w:p>
    <w:p>
      <w:pPr>
        <w:pStyle w:val="867"/>
        <w:ind w:firstLine="708"/>
        <w:jc w:val="bot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Перспективный баланс газоснабжения муниципального образования отсутствует. </w:t>
      </w:r>
      <w:r/>
    </w:p>
    <w:p>
      <w:pPr>
        <w:pStyle w:val="867"/>
        <w:jc w:val="center"/>
        <w:spacing w:after="0" w:line="240" w:lineRule="auto"/>
        <w:rPr>
          <w:b/>
          <w:sz w:val="28"/>
          <w:szCs w:val="28"/>
        </w:rPr>
        <w:outlineLvl w:val="2"/>
      </w:pPr>
      <w:r/>
      <w:bookmarkStart w:id="24" w:name="_Toc533014872"/>
      <w:r>
        <w:rPr>
          <w:b/>
          <w:sz w:val="28"/>
          <w:szCs w:val="28"/>
        </w:rPr>
        <w:t xml:space="preserve">3.2.6 Прогноз объёма утилизации твердых бытовых отходов</w:t>
      </w:r>
      <w:bookmarkEnd w:id="24"/>
      <w:r/>
      <w:r/>
    </w:p>
    <w:p>
      <w:pPr>
        <w:pStyle w:val="867"/>
        <w:ind w:firstLine="708"/>
        <w:jc w:val="bot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Перспективный баланс утилизации твердых бытовых отходов муниципального образования отсутствует. </w:t>
      </w:r>
      <w:r/>
    </w:p>
    <w:p>
      <w:pPr>
        <w:jc w:val="both"/>
        <w:rPr>
          <w:sz w:val="28"/>
          <w:szCs w:val="28"/>
        </w:rPr>
        <w:sectPr>
          <w:footnotePr/>
          <w:endnotePr/>
          <w:type w:val="nextPage"/>
          <w:pgSz w:w="16838" w:h="11906" w:orient="landscape"/>
          <w:pgMar w:top="1134" w:right="851" w:bottom="1134" w:left="1418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/>
    </w:p>
    <w:p>
      <w:pPr>
        <w:pStyle w:val="867"/>
        <w:jc w:val="center"/>
        <w:spacing w:after="0" w:line="240" w:lineRule="auto"/>
        <w:rPr>
          <w:b/>
          <w:sz w:val="28"/>
          <w:szCs w:val="28"/>
        </w:rPr>
        <w:outlineLvl w:val="0"/>
      </w:pPr>
      <w:r/>
      <w:bookmarkStart w:id="25" w:name="_Toc533014873"/>
      <w:r>
        <w:rPr>
          <w:b/>
          <w:sz w:val="28"/>
          <w:szCs w:val="28"/>
        </w:rPr>
        <w:t xml:space="preserve">4. Целевые показатели развития коммунальной инфраструктуры</w:t>
      </w:r>
      <w:bookmarkEnd w:id="25"/>
      <w:r/>
      <w:r/>
    </w:p>
    <w:p>
      <w:pPr>
        <w:pStyle w:val="867"/>
        <w:ind w:firstLine="709"/>
        <w:jc w:val="bot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7"/>
        <w:ind w:firstLine="709"/>
        <w:jc w:val="both"/>
        <w:spacing w:after="0"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Результаты реализации Программы определяются с достижением уровня запланированных технических и финансово-экономических целевых показателей.</w:t>
      </w:r>
      <w:r/>
    </w:p>
    <w:p>
      <w:pPr>
        <w:pStyle w:val="867"/>
        <w:ind w:firstLine="709"/>
        <w:jc w:val="both"/>
        <w:spacing w:after="0"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Перечень целевых</w:t>
      </w:r>
      <w:r>
        <w:rPr>
          <w:sz w:val="28"/>
          <w:szCs w:val="28"/>
        </w:rPr>
        <w:t xml:space="preserve">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поселений, городских округов», утвержденные Приказом Госстроя РФ </w:t>
      </w:r>
      <w:r>
        <w:rPr>
          <w:sz w:val="28"/>
          <w:szCs w:val="28"/>
        </w:rPr>
        <w:t xml:space="preserve">от 01</w:t>
      </w:r>
      <w:r>
        <w:rPr>
          <w:sz w:val="28"/>
          <w:szCs w:val="28"/>
        </w:rPr>
        <w:t xml:space="preserve"> октября </w:t>
      </w:r>
      <w:r>
        <w:rPr>
          <w:sz w:val="28"/>
          <w:szCs w:val="28"/>
        </w:rPr>
        <w:t xml:space="preserve">2013 г</w:t>
      </w:r>
      <w:r>
        <w:rPr>
          <w:sz w:val="28"/>
          <w:szCs w:val="28"/>
        </w:rPr>
        <w:t xml:space="preserve">ода </w:t>
      </w:r>
      <w:r>
        <w:rPr>
          <w:sz w:val="28"/>
          <w:szCs w:val="28"/>
        </w:rPr>
        <w:t xml:space="preserve">№ 359/ГС, к которым относятся:</w:t>
      </w:r>
      <w:r/>
    </w:p>
    <w:p>
      <w:pPr>
        <w:pStyle w:val="867"/>
        <w:ind w:firstLine="709"/>
        <w:jc w:val="both"/>
        <w:spacing w:after="0"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критерии доступности коммунальных услуг для населения;</w:t>
      </w:r>
      <w:r/>
    </w:p>
    <w:p>
      <w:pPr>
        <w:pStyle w:val="867"/>
        <w:ind w:firstLine="709"/>
        <w:jc w:val="both"/>
        <w:spacing w:after="0"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показатели спроса на коммунальные ресурсы и перспективные нагрузки;</w:t>
      </w:r>
      <w:r/>
    </w:p>
    <w:p>
      <w:pPr>
        <w:pStyle w:val="867"/>
        <w:ind w:firstLine="709"/>
        <w:jc w:val="both"/>
        <w:spacing w:after="0"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величины новых нагрузок;</w:t>
      </w:r>
      <w:r/>
    </w:p>
    <w:p>
      <w:pPr>
        <w:pStyle w:val="867"/>
        <w:ind w:firstLine="709"/>
        <w:jc w:val="both"/>
        <w:spacing w:after="0"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показатели качества поставляемого ресурса;</w:t>
      </w:r>
      <w:r/>
    </w:p>
    <w:p>
      <w:pPr>
        <w:pStyle w:val="867"/>
        <w:ind w:firstLine="709"/>
        <w:jc w:val="both"/>
        <w:spacing w:after="0"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показатели степени охвата потребителей приборами учета;</w:t>
      </w:r>
      <w:r/>
    </w:p>
    <w:p>
      <w:pPr>
        <w:pStyle w:val="867"/>
        <w:ind w:firstLine="709"/>
        <w:jc w:val="both"/>
        <w:spacing w:after="0"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показатели надежности поставки ресурсов;</w:t>
      </w:r>
      <w:r/>
    </w:p>
    <w:p>
      <w:pPr>
        <w:pStyle w:val="867"/>
        <w:ind w:firstLine="709"/>
        <w:jc w:val="both"/>
        <w:spacing w:after="0"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показатели эффективности производства и транспортировки ресурсов;</w:t>
      </w:r>
      <w:r/>
    </w:p>
    <w:p>
      <w:pPr>
        <w:pStyle w:val="867"/>
        <w:ind w:firstLine="709"/>
        <w:jc w:val="both"/>
        <w:spacing w:after="0"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показатели эффективности потребления коммунальных ресурсов;</w:t>
      </w:r>
      <w:r/>
    </w:p>
    <w:p>
      <w:pPr>
        <w:pStyle w:val="867"/>
        <w:ind w:firstLine="709"/>
        <w:jc w:val="both"/>
        <w:spacing w:after="0"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показатели воздействия на окружающую среду.</w:t>
      </w:r>
      <w:r/>
    </w:p>
    <w:p>
      <w:pPr>
        <w:pStyle w:val="867"/>
        <w:ind w:firstLine="709"/>
        <w:jc w:val="both"/>
        <w:spacing w:after="0"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Количественные значения целевых показателей определены с учетом выполнения всех мероприятий Программы в запланированные сроки.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перечень целевых показателей были включены показатели, актуальные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для систем коммунальной инфраструктуры данного муниципального образования. Целевые показатели развития коммунальной инфраструктуры муниципального образования представлены в таблице 54. </w:t>
      </w:r>
      <w:r/>
    </w:p>
    <w:p>
      <w:pPr>
        <w:pStyle w:val="867"/>
        <w:ind w:firstLine="708"/>
        <w:jc w:val="right"/>
        <w:rPr>
          <w:highlight w:val="yellow"/>
        </w:rPr>
        <w:sectPr>
          <w:footnotePr/>
          <w:endnotePr/>
          <w:type w:val="nextPage"/>
          <w:pgSz w:w="11906" w:h="16838" w:orient="portrait"/>
          <w:pgMar w:top="1134" w:right="851" w:bottom="1134" w:left="1418" w:header="708" w:footer="708" w:gutter="0"/>
          <w:cols w:num="1" w:sep="0" w:space="708" w:equalWidth="1"/>
          <w:docGrid w:linePitch="360"/>
        </w:sectPr>
      </w:pPr>
      <w:r>
        <w:rPr>
          <w:highlight w:val="yellow"/>
        </w:rPr>
      </w:r>
      <w:r/>
    </w:p>
    <w:p>
      <w:pPr>
        <w:pStyle w:val="867"/>
        <w:ind w:firstLine="708"/>
        <w:jc w:val="center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Целевые показатели развития коммунальной инфраструктуры муниципального образования</w:t>
      </w:r>
      <w:r/>
    </w:p>
    <w:p>
      <w:pPr>
        <w:pStyle w:val="867"/>
        <w:ind w:firstLine="708"/>
        <w:jc w:val="center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867"/>
        <w:ind w:firstLine="708"/>
        <w:jc w:val="right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54</w:t>
      </w:r>
      <w:r/>
    </w:p>
    <w:tbl>
      <w:tblPr>
        <w:tblW w:w="5000" w:type="pct"/>
        <w:tblLook w:val="04A0" w:firstRow="1" w:lastRow="0" w:firstColumn="1" w:lastColumn="0" w:noHBand="0" w:noVBand="1"/>
      </w:tblPr>
      <w:tblGrid>
        <w:gridCol w:w="537"/>
        <w:gridCol w:w="2489"/>
        <w:gridCol w:w="6686"/>
        <w:gridCol w:w="1668"/>
        <w:gridCol w:w="780"/>
        <w:gridCol w:w="780"/>
        <w:gridCol w:w="780"/>
        <w:gridCol w:w="783"/>
      </w:tblGrid>
      <w:tr>
        <w:trPr>
          <w:trHeight w:val="20"/>
          <w:tblHeader/>
        </w:trPr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№ п/п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Наименование целевого показателя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Данные, используемые для установления целевого показателя</w:t>
            </w:r>
            <w:r/>
          </w:p>
        </w:tc>
        <w:tc>
          <w:tcPr>
            <w:shd w:val="clear" w:color="auto" w:fill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Единица измерения</w:t>
            </w:r>
            <w:r/>
          </w:p>
        </w:tc>
        <w:tc>
          <w:tcPr>
            <w:gridSpan w:val="4"/>
            <w:shd w:val="clear" w:color="auto" w:fill="auto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07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Значение установленного целевого показателя </w:t>
            </w:r>
            <w:r/>
          </w:p>
        </w:tc>
      </w:tr>
      <w:tr>
        <w:trPr>
          <w:trHeight w:val="2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2023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Целевой показатель качества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проб питьевой воды, подаваемой с источников водоснабжения, водо</w:t>
            </w:r>
            <w:r>
              <w:rPr>
                <w:color w:val="000000"/>
                <w:sz w:val="18"/>
                <w:szCs w:val="18"/>
              </w:rPr>
              <w:t xml:space="preserve">проводных станций или иных объектов централизованной системы водоснабжения в распределительную водопроводную сеть не соответствующих установленных требованиям, в общем объеме проб, отобранных по результатам производственного контроля качества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2,8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проб питьевой воды в распределительной водопроводной сети, 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 xml:space="preserve">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2,8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Целевые показатели надежности и бесперебойности водоснабжения и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Количество перерывов в подаче холодной воды, произошедших в результате аварий, повреждений и иных технологических нарушений на объектах централизованной системы холодного водоснабжения, в расчете на протяженность водопроводной сети в 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Ед./км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1,23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Удельное количество аварий и засоров в расчете на протяженность канализационной сети в год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Ед./км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6,7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6,6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6,4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Целевой показатель очистки сточных вод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поверхностных сточных вод, не подвергающихся очистке, в общем объеме поверхностных сточных вод, принимаемых в централизованную ливневую систему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про</w:t>
            </w:r>
            <w:r>
              <w:rPr>
                <w:color w:val="000000"/>
                <w:sz w:val="18"/>
                <w:szCs w:val="18"/>
              </w:rPr>
              <w:t xml:space="preserve">б сточных вод, не соответствующих установленным нормативам допустимых сбросов, лимитам на сбросы, рассчитанная применительно к видам централизованных систем водоотведения раздельно для общесплавной (бытовой) и ливневой централизованных систем водоотведения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15</w:t>
            </w:r>
            <w:r/>
          </w:p>
        </w:tc>
      </w:tr>
      <w:tr>
        <w:trPr>
          <w:trHeight w:val="20"/>
        </w:trPr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4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Целевые показатели эффективности использования ресурсов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Доля потерь воды в централизованных системах водоснабжения при ее транспортировке в общем объеме воды, поданной в водопроводную сеть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%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6,80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6,80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Удельный расход электрической энергии, потребляемой в технологическом процессе подготовки питьевой воды, на единицу объема воды, отпускаемой в сеть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кВт*ч/м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0,98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0,98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Удельный расход электрической энергии, потребляемой в технологическом процессе транспортировки питьевой воды, на единицу объема транспортируемой питьевой воды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кВт*ч/м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Удельный расход электрической энергии, потребляемой в технологическом процессе очистки сточных вод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кВт*ч/м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1,01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0,23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85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8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30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57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кВт*ч/м</w:t>
            </w:r>
            <w:r>
              <w:rPr>
                <w:color w:val="000000"/>
                <w:sz w:val="18"/>
                <w:szCs w:val="18"/>
                <w:vertAlign w:val="superscript"/>
              </w:rPr>
              <w:t xml:space="preserve">3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0,31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6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0,39</w:t>
            </w:r>
            <w:r/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70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0,39</w:t>
            </w:r>
            <w:r/>
          </w:p>
        </w:tc>
      </w:tr>
    </w:tbl>
    <w:p>
      <w:pPr>
        <w:pStyle w:val="867"/>
        <w:ind w:firstLine="708"/>
      </w:pPr>
      <w:r/>
      <w:r/>
    </w:p>
    <w:p>
      <w:pPr>
        <w:pStyle w:val="867"/>
        <w:ind w:firstLine="708"/>
        <w:jc w:val="center"/>
        <w:spacing w:after="0"/>
        <w:rPr>
          <w:b/>
        </w:rPr>
        <w:sectPr>
          <w:footnotePr/>
          <w:endnotePr/>
          <w:type w:val="nextPage"/>
          <w:pgSz w:w="16838" w:h="11906" w:orient="landscape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b/>
        </w:rPr>
      </w:r>
      <w:r/>
    </w:p>
    <w:p>
      <w:pPr>
        <w:pStyle w:val="869"/>
        <w:numPr>
          <w:ilvl w:val="0"/>
          <w:numId w:val="13"/>
        </w:numPr>
        <w:jc w:val="right"/>
        <w:spacing w:line="240" w:lineRule="auto"/>
        <w:rPr>
          <w:b/>
          <w:sz w:val="28"/>
          <w:szCs w:val="28"/>
        </w:rPr>
        <w:outlineLvl w:val="0"/>
      </w:pPr>
      <w:r/>
      <w:bookmarkStart w:id="26" w:name="_Toc533014874"/>
      <w:r>
        <w:rPr>
          <w:b/>
          <w:sz w:val="28"/>
          <w:szCs w:val="28"/>
        </w:rPr>
        <w:t xml:space="preserve">Программа инвестиционных проектов, обеспечивающих достижение целевых показателей</w:t>
      </w:r>
      <w:bookmarkEnd w:id="26"/>
      <w:r/>
      <w:r/>
    </w:p>
    <w:p>
      <w:pPr>
        <w:pStyle w:val="869"/>
        <w:numPr>
          <w:ilvl w:val="0"/>
          <w:numId w:val="13"/>
        </w:numPr>
        <w:jc w:val="right"/>
        <w:spacing w:line="240" w:lineRule="auto"/>
        <w:rPr>
          <w:b/>
          <w:sz w:val="28"/>
          <w:szCs w:val="28"/>
        </w:rPr>
        <w:outlineLvl w:val="0"/>
      </w:pPr>
      <w:r>
        <w:rPr>
          <w:b/>
          <w:sz w:val="28"/>
          <w:szCs w:val="28"/>
        </w:rPr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Перечень мероприятий по развитию и модернизации системы коммунальной инфраструктуры представлен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таблиц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55-57.</w:t>
      </w:r>
      <w:r/>
    </w:p>
    <w:p>
      <w:pPr>
        <w:pStyle w:val="869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869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Теплоснабжение</w:t>
      </w:r>
      <w:r/>
    </w:p>
    <w:p>
      <w:pPr>
        <w:jc w:val="center"/>
        <w:tabs>
          <w:tab w:val="left" w:pos="993" w:leader="none"/>
        </w:tabs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Затраты на реконструкцию и техническое перевооружение источников тепловой энергии </w:t>
      </w:r>
      <w:r/>
    </w:p>
    <w:p>
      <w:pPr>
        <w:jc w:val="center"/>
        <w:tabs>
          <w:tab w:val="left" w:pos="993" w:leader="none"/>
        </w:tabs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Грайворонского городского округа</w:t>
      </w:r>
      <w:r/>
    </w:p>
    <w:p>
      <w:pPr>
        <w:pStyle w:val="869"/>
        <w:jc w:val="right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9"/>
        <w:jc w:val="right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55</w:t>
      </w:r>
      <w:r/>
    </w:p>
    <w:p>
      <w:pPr>
        <w:pStyle w:val="869"/>
        <w:jc w:val="right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tbl>
      <w:tblPr>
        <w:tblStyle w:val="1289"/>
        <w:tblW w:w="5000" w:type="pct"/>
        <w:tblLook w:val="04A0" w:firstRow="1" w:lastRow="0" w:firstColumn="1" w:lastColumn="0" w:noHBand="0" w:noVBand="1"/>
      </w:tblPr>
      <w:tblGrid>
        <w:gridCol w:w="619"/>
        <w:gridCol w:w="3220"/>
        <w:gridCol w:w="5627"/>
        <w:gridCol w:w="1109"/>
        <w:gridCol w:w="2108"/>
        <w:gridCol w:w="2102"/>
      </w:tblGrid>
      <w:tr>
        <w:trPr>
          <w:trHeight w:val="56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Наименование источника тепловой энергии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Планируемое мероприятие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Затраты, тыс.руб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Год реализации мероприятия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Источник финансирования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Шухова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Капитальный ремонт - Средства автоматики безопасности, сигнализации, контроля; ПЧ VFD 28 CP43B; КК-100-65-200; КМ-80-50-2002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1403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7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Мокрая Орловка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Капитальный ремонт - Средства автоматики безопасности, сигнализации, контроля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1470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Головчино (поселок)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Капитальный ремонт - Средства автоматики безопасности, сигнализации, контроля; ПЧ VFD 15 CP43B; КМ-100-65-160; КМ-80-65-160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1537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Капитальный ремонт - Средства автоматики безопасности, сигнализации, контроля; ПЧ VFD 20 CP43B; КМ-100-80-160; КМ-100-65-200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984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Безымено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Капитальный ремонт - ПЧ VFD 15 CP43B; КМ-80-65-160; К 45/40; Горелочные устройства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2554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ПНИ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Капитальный ремонт - НР-18; ПЧ VFD 18 CP43B; К-80-50-200; КМ-100-65-200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4 692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Смородино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Капитальный ремонт - НР-18 1,8МВт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2 559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Гора-Подол (школа)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Капитальный ремонт - Горелочные устройства 3МВт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2 128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пос. Горьковский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Капитальный ремонт - Горелочные устройства 2МВт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1 802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Луначарского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(модернизация) - КВа-2,0; КСВ-1,86Г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1 400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Гора-Подол (школа)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(модернизация) - ПЧ VFD 15 P43B; К 45/30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пос. Горьковский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(модернизация) - ПЧ VFD 17 P43B; К-80-60-200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Головчино (больница)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(модернизация) - ПЧ VFD 5,5 P43B; К-20-30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ТКУ с. Головчино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(модернизация) - ПЧ VFD 15 P43B; BL - 40/170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Администрация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(модернизация) - ПЧ VFD 4,5 P43B; UPS40-180F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Мокрая Орловка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(модернизация) - КВГ-0,7-115; ПЧ VFD 17 P43B; К 45/90; КМ-80-65-160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1 220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ТКУ с. Козинка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(модернизация) - ПЧ VFD 15 P43B; К50/170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ТКУ ОПБ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(модернизация) - ПЧ VFD 15 P43B; IL-65/150-5,5/2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Смородино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(модернизация) - ПЧ VFD 15 P43B; К - 45/40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480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с. Дорогощь (школа)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03" w:type="pct"/>
            <w:vAlign w:val="center"/>
            <w:textDirection w:val="lrTb"/>
            <w:noWrap w:val="false"/>
          </w:tcPr>
          <w:p>
            <w:pPr>
              <w:jc w:val="center"/>
              <w:tabs>
                <w:tab w:val="left" w:pos="4678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(модернизация) - ПЧ VFD 4,5 P43B; GPD 32-6-180; IPL 40/90-0,37/2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trHeight w:val="262"/>
        </w:trPr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01" w:type="pct"/>
            <w:vAlign w:val="center"/>
            <w:textDirection w:val="lrTb"/>
            <w:noWrap w:val="false"/>
          </w:tcPr>
          <w:p>
            <w:pPr>
              <w:jc w:val="right"/>
              <w:tabs>
                <w:tab w:val="left" w:pos="4678" w:leader="none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Итого: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7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16 721,00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11" w:type="pc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</w:tbl>
    <w:p>
      <w:pPr>
        <w:pStyle w:val="869"/>
        <w:spacing w:line="240" w:lineRule="auto"/>
        <w:rPr>
          <w:b/>
        </w:rPr>
      </w:pPr>
      <w:r>
        <w:rPr>
          <w:b/>
        </w:rPr>
      </w:r>
      <w:r/>
    </w:p>
    <w:p>
      <w:pPr>
        <w:pStyle w:val="869"/>
        <w:jc w:val="center"/>
        <w:spacing w:line="240" w:lineRule="auto"/>
        <w:rPr>
          <w:b/>
        </w:rPr>
      </w:pPr>
      <w:r>
        <w:rPr>
          <w:b/>
        </w:rPr>
      </w:r>
      <w:r/>
    </w:p>
    <w:p>
      <w:pPr>
        <w:pStyle w:val="869"/>
        <w:jc w:val="right"/>
        <w:pageBreakBefore/>
        <w:spacing w:line="240" w:lineRule="auto"/>
      </w:pPr>
      <w:r>
        <w:t xml:space="preserve">Таблица </w:t>
      </w:r>
      <w:r>
        <w:t xml:space="preserve">56</w:t>
      </w:r>
      <w:r/>
    </w:p>
    <w:p>
      <w:pPr>
        <w:pStyle w:val="869"/>
        <w:jc w:val="both"/>
      </w:pPr>
      <w:r/>
      <w:r/>
    </w:p>
    <w:p>
      <w:pPr>
        <w:pStyle w:val="869"/>
        <w:jc w:val="center"/>
        <w:rPr>
          <w:b/>
        </w:rPr>
      </w:pPr>
      <w:r>
        <w:rPr>
          <w:b/>
        </w:rPr>
        <w:t xml:space="preserve">Водоснабжение</w:t>
      </w:r>
      <w:r/>
    </w:p>
    <w:p>
      <w:pPr>
        <w:pStyle w:val="869"/>
        <w:jc w:val="center"/>
        <w:rPr>
          <w:b/>
        </w:rPr>
      </w:pPr>
      <w:r>
        <w:rPr>
          <w:rFonts w:eastAsia="Calibri"/>
          <w:b/>
          <w:szCs w:val="28"/>
        </w:rPr>
        <w:t xml:space="preserve">Затраты на реконструкцию и техническое перевооружение</w:t>
      </w:r>
      <w:r>
        <w:rPr>
          <w:rFonts w:eastAsia="Calibri"/>
          <w:b/>
          <w:szCs w:val="28"/>
        </w:rPr>
        <w:t xml:space="preserve"> системы водоснабжения Грайворонского городского округа</w:t>
      </w:r>
      <w:r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01"/>
        <w:gridCol w:w="3365"/>
        <w:gridCol w:w="1484"/>
        <w:gridCol w:w="1597"/>
        <w:gridCol w:w="1274"/>
        <w:gridCol w:w="1017"/>
        <w:gridCol w:w="866"/>
        <w:gridCol w:w="866"/>
        <w:gridCol w:w="781"/>
        <w:gridCol w:w="973"/>
        <w:gridCol w:w="2061"/>
      </w:tblGrid>
      <w:tr>
        <w:trPr>
          <w:cantSplit/>
          <w:trHeight w:val="331"/>
          <w:tblHeader/>
        </w:trPr>
        <w:tc>
          <w:tcPr>
            <w:shd w:val="clear" w:color="auto" w:fill="auto"/>
            <w:tcW w:w="169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№ п/п</w:t>
            </w:r>
            <w:r/>
          </w:p>
        </w:tc>
        <w:tc>
          <w:tcPr>
            <w:shd w:val="clear" w:color="auto" w:fill="auto"/>
            <w:tcW w:w="1138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Наименование мероприятий</w:t>
            </w:r>
            <w:r/>
          </w:p>
        </w:tc>
        <w:tc>
          <w:tcPr>
            <w:shd w:val="clear" w:color="auto" w:fill="auto"/>
            <w:tcW w:w="5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Место проведения мероприятия</w:t>
            </w:r>
            <w:r/>
          </w:p>
        </w:tc>
        <w:tc>
          <w:tcPr>
            <w:shd w:val="clear" w:color="auto" w:fill="auto"/>
            <w:tcW w:w="54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Финансовая потребность, тыс. руб. с НДС</w:t>
            </w:r>
            <w:r/>
          </w:p>
        </w:tc>
        <w:tc>
          <w:tcPr>
            <w:gridSpan w:val="6"/>
            <w:shd w:val="clear" w:color="auto" w:fill="auto"/>
            <w:tcW w:w="19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Реализация мероприятий по годам, тыс. руб. с НДС</w:t>
            </w:r>
            <w:r>
              <w:rPr>
                <w:color w:val="000000"/>
                <w:sz w:val="18"/>
                <w:szCs w:val="18"/>
              </w:rPr>
              <w:t xml:space="preserve"> 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Источник финансирования</w:t>
            </w:r>
            <w:r/>
          </w:p>
        </w:tc>
      </w:tr>
      <w:tr>
        <w:trPr>
          <w:cantSplit/>
          <w:trHeight w:val="226"/>
          <w:tblHeader/>
        </w:trPr>
        <w:tc>
          <w:tcPr>
            <w:shd w:val="clear" w:color="auto" w:fill="auto"/>
            <w:tcW w:w="169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W w:w="1138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W w:w="502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W w:w="540" w:type="pct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2023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2024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2025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2026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2027-203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8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водозаборной скважины в г. Грайворон, ул. Тарана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7 000,0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7 000,0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водозаборной скважины в с. Гора-Подол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Гора-Подол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водозаборной скважины в с. Безымено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Безымено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водозаборной скважины в п. Совхозный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Совхозный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водозаборной скважины в с. Смородино,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Горная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Смородино, ул. Горная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водозаборной скважины в п. Чапаевский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Чапаевский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сетей и сооружений водоснабжения с. Головчино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30 000,0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20000,0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оборудования для станции водоподготовки в г. Грайворон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Грайворон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8 000,0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8 000,0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станции водоподготовки для модернизации существующей системы централизованного водоснабжения с. Ломное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Ломное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станции водоподготовки для модернизации существующей системы централизованного водоснабжения с. Мокрая Орловка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Мокрая Орловка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станции водоподготовки для модернизации существующей системы централизованного водоснабжения с. Головчино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Головчино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станции водоподготовки для модернизации существующей системы централизованного водоснабжения с. Пороз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Пороз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станции водоподготовки для модернизации существующей системы централизованного водоснабжения п. Горьковский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Горьковский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станции водоподготовки для модернизации существующей системы централизованного водоснабжения п. Доброполье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Доброполье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станции водоподготовки для модернизации существующей системы централизованного водоснабжения с. Казачья Лисица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Казачья Лисица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станции водоподготовки для модернизации существующей системы централизованного водоснабжения с. Новостроевка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Новостроевка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станции водоподготовки для модернизации существующей системы централизованного водоснабжения с. Смородино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Смородино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8 000,0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8 000,0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станции водоподготовки для модернизации существующей системы централизованного водоснабжения с. Дроновка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Дроновка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станции водоподготовки для модернизации существующей системы централизованного водоснабжения с. Замостье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Замостье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станции водоподготовки для модернизации существующей системы централизованного водоснабжения с. Косилово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Косилово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станции водоподготовки для модернизации существующей системы централизованного водоснабжения с. Гора-Подол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Гора-Подол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6 000,0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водонапорной башни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модернизации существующей системы централизованного водоснабжения с. Казачья Лисица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Казачья Лисица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водонапорной башни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модернизации существующей системы централизованного водоснабжения с. Почаево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Почаево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водонапорной башни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модернизации существующей системы централизованного водоснабжения п. Совхозный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Совхозный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водонапорной башни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модернизации существующей системы централизованного водоснабжения с. Ломное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Ломное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26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водонапорной башни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модернизации существующей системы централизованного водоснабжения п. Горьковский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Горьковский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Поставка водонапорной башни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модернизации существующей системы централизованного водоснабжения с. Пороз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Пороз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Капитальный ремонт сетей водоснабжения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Ивановская Лисица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Ивановская Лисица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11 344,0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11 344,0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29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Капитальный ремонт сетей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сооружений водоснабжения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Совхозный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Совхозный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9 028,6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9 028,6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Капитальный ремонт водонапорной башни п. Доброполье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Доброполье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1 500,0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1 500,0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31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Устройство ограждения станции водоподготовки в с. Головчино,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Букина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Головчино, ул. Букина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531,2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531,2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32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Устройство ограждения станции водоподготовки в с. Почаево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Почаево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550,7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550,7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33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Устройство ограждения водозабора «Южный» в г. Грайворон,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Тарана, 67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Грайворон, ул. Тарана, 67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7 000,0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7 000,0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34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для строительства сетей и сооружений водоснабжения в с. Смородино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Смородино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700,0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700,0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35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для строительства сетей и сооружений водоснабжения в с. Ломное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Ломное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36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для строительства водозаборной скважины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г. Грайворон, ул. Тарана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Грайворон, ул. Тарана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37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для строительства водозаборной скважины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с. Гора-Подол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Гора-Подол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для строительства водозаборной скважины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с. Безымено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Безымено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39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для строительства водозаборной скважины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п. Совхозный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Совхозный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для строительства водозаборной скважины в с. Смородино, ул. Горная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Смородино, ул. Горная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auto"/>
            <w:tcW w:w="16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41</w:t>
            </w:r>
            <w:r/>
          </w:p>
        </w:tc>
        <w:tc>
          <w:tcPr>
            <w:shd w:val="clear" w:color="auto" w:fill="auto"/>
            <w:tcW w:w="113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для строительства водозаборной скважины в п. Чапаевский</w:t>
            </w:r>
            <w:r/>
          </w:p>
        </w:tc>
        <w:tc>
          <w:tcPr>
            <w:shd w:val="clear" w:color="auto" w:fill="auto"/>
            <w:tcW w:w="50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Чапаевский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1 000,0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auto"/>
            <w:tcW w:w="6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Областной бюджет</w:t>
            </w:r>
            <w:r/>
          </w:p>
        </w:tc>
      </w:tr>
      <w:tr>
        <w:trPr>
          <w:cantSplit/>
          <w:trHeight w:val="454"/>
        </w:trPr>
        <w:tc>
          <w:tcPr>
            <w:gridSpan w:val="3"/>
            <w:shd w:val="clear" w:color="auto" w:fill="auto"/>
            <w:tcW w:w="180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ИТОГО</w:t>
            </w:r>
            <w:r/>
          </w:p>
        </w:tc>
        <w:tc>
          <w:tcPr>
            <w:shd w:val="clear" w:color="auto" w:fill="auto"/>
            <w:tcW w:w="54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208 654,50</w:t>
            </w:r>
            <w:r/>
          </w:p>
        </w:tc>
        <w:tc>
          <w:tcPr>
            <w:shd w:val="clear" w:color="auto" w:fill="auto"/>
            <w:tcW w:w="431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198 654,50</w:t>
            </w:r>
            <w:r/>
          </w:p>
        </w:tc>
        <w:tc>
          <w:tcPr>
            <w:shd w:val="clear" w:color="auto" w:fill="auto"/>
            <w:tcW w:w="34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10000,0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0</w:t>
            </w:r>
            <w:r/>
          </w:p>
        </w:tc>
        <w:tc>
          <w:tcPr>
            <w:shd w:val="clear" w:color="auto" w:fill="auto"/>
            <w:tcW w:w="29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0</w:t>
            </w:r>
            <w:r/>
          </w:p>
        </w:tc>
        <w:tc>
          <w:tcPr>
            <w:shd w:val="clear" w:color="auto" w:fill="auto"/>
            <w:tcW w:w="26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0</w:t>
            </w:r>
            <w:r/>
          </w:p>
        </w:tc>
        <w:tc>
          <w:tcPr>
            <w:shd w:val="clear" w:color="auto" w:fill="auto"/>
            <w:tcW w:w="32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0</w:t>
            </w:r>
            <w:r/>
          </w:p>
        </w:tc>
        <w:tc>
          <w:tcPr>
            <w:shd w:val="clear" w:color="auto" w:fill="auto"/>
            <w:tcW w:w="697" w:type="pc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</w:r>
            <w:r/>
          </w:p>
        </w:tc>
      </w:tr>
    </w:tbl>
    <w:p>
      <w:pPr>
        <w:pStyle w:val="869"/>
        <w:jc w:val="right"/>
        <w:spacing w:line="240" w:lineRule="auto"/>
      </w:pPr>
      <w:r/>
      <w:r/>
    </w:p>
    <w:p>
      <w:pPr>
        <w:pStyle w:val="869"/>
        <w:ind w:firstLine="0"/>
        <w:jc w:val="both"/>
      </w:pPr>
      <w:r/>
      <w:r/>
    </w:p>
    <w:p>
      <w:pPr>
        <w:pStyle w:val="869"/>
        <w:ind w:firstLine="0"/>
        <w:jc w:val="center"/>
        <w:rPr>
          <w:b/>
        </w:rPr>
      </w:pPr>
      <w:r>
        <w:rPr>
          <w:b/>
        </w:rPr>
        <w:t xml:space="preserve">Водоотведение</w:t>
      </w:r>
      <w:r/>
    </w:p>
    <w:p>
      <w:pPr>
        <w:pStyle w:val="869"/>
        <w:ind w:firstLine="0"/>
        <w:jc w:val="center"/>
        <w:rPr>
          <w:rFonts w:eastAsia="Calibri"/>
          <w:b/>
          <w:szCs w:val="28"/>
        </w:rPr>
      </w:pPr>
      <w:r>
        <w:rPr>
          <w:rFonts w:eastAsia="Calibri"/>
          <w:b/>
          <w:szCs w:val="28"/>
        </w:rPr>
        <w:t xml:space="preserve">Затраты на реконструкцию и техническое перевооружение</w:t>
      </w:r>
      <w:r>
        <w:rPr>
          <w:rFonts w:eastAsia="Calibri"/>
          <w:b/>
          <w:szCs w:val="28"/>
        </w:rPr>
        <w:t xml:space="preserve"> системы водоснабжения Грайворонского городского округа</w:t>
      </w:r>
      <w:r/>
    </w:p>
    <w:p>
      <w:pPr>
        <w:pStyle w:val="869"/>
        <w:ind w:firstLine="0"/>
        <w:jc w:val="center"/>
        <w:rPr>
          <w:b/>
        </w:rPr>
      </w:pPr>
      <w:r>
        <w:rPr>
          <w:b/>
        </w:rPr>
      </w:r>
      <w:r/>
    </w:p>
    <w:p>
      <w:pPr>
        <w:pStyle w:val="869"/>
        <w:jc w:val="right"/>
        <w:spacing w:line="240" w:lineRule="auto"/>
      </w:pPr>
      <w:r>
        <w:t xml:space="preserve">Таблица </w:t>
      </w:r>
      <w:r>
        <w:t xml:space="preserve">57</w:t>
      </w:r>
      <w:r/>
    </w:p>
    <w:p>
      <w:pPr>
        <w:pStyle w:val="869"/>
        <w:jc w:val="right"/>
        <w:spacing w:line="240" w:lineRule="auto"/>
      </w:pPr>
      <w:r/>
      <w:r/>
    </w:p>
    <w:tbl>
      <w:tblPr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82"/>
        <w:gridCol w:w="2584"/>
        <w:gridCol w:w="1665"/>
        <w:gridCol w:w="1972"/>
        <w:gridCol w:w="1665"/>
        <w:gridCol w:w="1047"/>
        <w:gridCol w:w="1050"/>
        <w:gridCol w:w="1050"/>
        <w:gridCol w:w="1050"/>
        <w:gridCol w:w="2120"/>
      </w:tblGrid>
      <w:tr>
        <w:trPr>
          <w:jc w:val="center"/>
          <w:trHeight w:val="620"/>
          <w:tblHeader/>
        </w:trPr>
        <w:tc>
          <w:tcPr>
            <w:shd w:val="clear" w:color="auto" w:fill="auto"/>
            <w:tcW w:w="19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№ п/п</w:t>
            </w:r>
            <w:r/>
          </w:p>
        </w:tc>
        <w:tc>
          <w:tcPr>
            <w:shd w:val="clear" w:color="auto" w:fill="auto"/>
            <w:tcW w:w="874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Наименование мероприятий</w:t>
            </w:r>
            <w:r/>
          </w:p>
        </w:tc>
        <w:tc>
          <w:tcPr>
            <w:shd w:val="clear" w:color="auto" w:fill="auto"/>
            <w:tcW w:w="56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Место проведения мероприятия</w:t>
            </w:r>
            <w:r/>
          </w:p>
        </w:tc>
        <w:tc>
          <w:tcPr>
            <w:shd w:val="clear" w:color="auto" w:fill="auto"/>
            <w:tcW w:w="667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Цель мероприятия</w:t>
            </w:r>
            <w:r/>
          </w:p>
        </w:tc>
        <w:tc>
          <w:tcPr>
            <w:shd w:val="clear" w:color="auto" w:fill="auto"/>
            <w:tcW w:w="563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Финансовая потребность, тыс. руб. </w:t>
            </w:r>
            <w:r/>
          </w:p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 НДС</w:t>
            </w:r>
            <w:r/>
          </w:p>
        </w:tc>
        <w:tc>
          <w:tcPr>
            <w:gridSpan w:val="5"/>
            <w:shd w:val="clear" w:color="auto" w:fill="auto"/>
            <w:tcW w:w="2136" w:type="pct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Реализация мероприятий по годам, тыс. руб. с НДС</w:t>
            </w:r>
            <w:r/>
          </w:p>
        </w:tc>
      </w:tr>
      <w:tr>
        <w:trPr>
          <w:jc w:val="center"/>
          <w:trHeight w:val="290"/>
          <w:tblHeader/>
        </w:trPr>
        <w:tc>
          <w:tcPr>
            <w:shd w:val="clear" w:color="auto" w:fill="auto"/>
            <w:tcW w:w="19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W w:w="874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W w:w="56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W w:w="667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W w:w="563" w:type="pct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W w:w="3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2022</w:t>
            </w:r>
            <w:r/>
          </w:p>
        </w:tc>
        <w:tc>
          <w:tcPr>
            <w:shd w:val="clear" w:color="auto" w:fill="auto"/>
            <w:tcW w:w="35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2023</w:t>
            </w:r>
            <w:r/>
          </w:p>
        </w:tc>
        <w:tc>
          <w:tcPr>
            <w:shd w:val="clear" w:color="auto" w:fill="auto"/>
            <w:tcW w:w="35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2024</w:t>
            </w:r>
            <w:r/>
          </w:p>
        </w:tc>
        <w:tc>
          <w:tcPr>
            <w:shd w:val="clear" w:color="auto" w:fill="auto"/>
            <w:tcW w:w="35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2025</w:t>
            </w:r>
            <w:r/>
          </w:p>
        </w:tc>
        <w:tc>
          <w:tcPr>
            <w:tcW w:w="71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Источник финансирования</w:t>
            </w:r>
            <w:r/>
          </w:p>
        </w:tc>
      </w:tr>
      <w:tr>
        <w:trPr>
          <w:jc w:val="center"/>
          <w:trHeight w:val="290"/>
        </w:trPr>
        <w:tc>
          <w:tcPr>
            <w:shd w:val="clear" w:color="auto" w:fill="auto"/>
            <w:tcW w:w="19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</w:t>
            </w:r>
            <w:r/>
          </w:p>
        </w:tc>
        <w:tc>
          <w:tcPr>
            <w:shd w:val="clear" w:color="auto" w:fill="auto"/>
            <w:tcW w:w="87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Реконструкция напорных канализационных коллекторов с заменой металлических труб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 полиэтиленовые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D-150 мм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г. Грайвороне</w:t>
            </w:r>
            <w:r/>
          </w:p>
        </w:tc>
        <w:tc>
          <w:tcPr>
            <w:shd w:val="clear" w:color="auto" w:fill="auto"/>
            <w:tcW w:w="563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г. Грайворон</w:t>
            </w:r>
            <w:r/>
          </w:p>
        </w:tc>
        <w:tc>
          <w:tcPr>
            <w:shd w:val="clear" w:color="auto" w:fill="auto"/>
            <w:tcW w:w="667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Повышение надежности </w:t>
            </w:r>
            <w:r/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 бесперебойности водоотведения</w:t>
            </w:r>
            <w:r/>
          </w:p>
        </w:tc>
        <w:tc>
          <w:tcPr>
            <w:shd w:val="clear" w:color="auto" w:fill="auto"/>
            <w:tcW w:w="563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20 000,0</w:t>
            </w:r>
            <w:r/>
          </w:p>
        </w:tc>
        <w:tc>
          <w:tcPr>
            <w:shd w:val="clear" w:color="auto" w:fill="auto"/>
            <w:tcW w:w="354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W w:w="3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W w:w="355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W w:w="355" w:type="pct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20 000,0</w:t>
            </w:r>
            <w:r/>
          </w:p>
        </w:tc>
        <w:tc>
          <w:tcPr>
            <w:tcW w:w="717" w:type="pct"/>
            <w:vAlign w:val="center"/>
            <w:textDirection w:val="lrTb"/>
            <w:noWrap w:val="false"/>
          </w:tcPr>
          <w:p>
            <w:pPr>
              <w:ind w:left="-5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Областной бюджет</w:t>
            </w:r>
            <w:r/>
          </w:p>
        </w:tc>
      </w:tr>
      <w:tr>
        <w:trPr>
          <w:jc w:val="center"/>
          <w:trHeight w:val="290"/>
        </w:trPr>
        <w:tc>
          <w:tcPr>
            <w:gridSpan w:val="4"/>
            <w:shd w:val="clear" w:color="auto" w:fill="auto"/>
            <w:tcW w:w="2301" w:type="pct"/>
            <w:vAlign w:val="center"/>
            <w:textDirection w:val="lrTb"/>
            <w:noWrap w:val="false"/>
          </w:tcPr>
          <w:p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Итого</w:t>
            </w:r>
            <w:r/>
          </w:p>
        </w:tc>
        <w:tc>
          <w:tcPr>
            <w:shd w:val="clear" w:color="auto" w:fill="auto"/>
            <w:tcW w:w="56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20000,0</w:t>
            </w:r>
            <w:r/>
          </w:p>
        </w:tc>
        <w:tc>
          <w:tcPr>
            <w:shd w:val="clear" w:color="auto" w:fill="auto"/>
            <w:tcW w:w="354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W w:w="35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W w:w="35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auto"/>
            <w:tcW w:w="355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20000,0</w:t>
            </w:r>
            <w:r/>
          </w:p>
        </w:tc>
        <w:tc>
          <w:tcPr>
            <w:tcW w:w="717" w:type="pct"/>
            <w:textDirection w:val="lrTb"/>
            <w:noWrap w:val="false"/>
          </w:tcPr>
          <w:p>
            <w:pPr>
              <w:ind w:left="-5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</w:tbl>
    <w:p>
      <w:pPr>
        <w:pStyle w:val="869"/>
        <w:jc w:val="both"/>
      </w:pPr>
      <w:r/>
      <w:r/>
    </w:p>
    <w:p>
      <w:pPr>
        <w:pStyle w:val="869"/>
        <w:jc w:val="both"/>
      </w:pPr>
      <w:r/>
      <w:r/>
    </w:p>
    <w:p>
      <w:pPr>
        <w:pStyle w:val="869"/>
        <w:jc w:val="both"/>
      </w:pPr>
      <w:r/>
      <w:r/>
    </w:p>
    <w:p>
      <w:pPr>
        <w:pStyle w:val="869"/>
        <w:jc w:val="both"/>
      </w:pPr>
      <w:r/>
      <w:r/>
    </w:p>
    <w:p>
      <w:pPr>
        <w:pStyle w:val="869"/>
        <w:jc w:val="both"/>
      </w:pPr>
      <w:r/>
      <w:r/>
    </w:p>
    <w:p>
      <w:pPr>
        <w:pStyle w:val="869"/>
        <w:jc w:val="both"/>
      </w:pPr>
      <w:r/>
      <w:r/>
    </w:p>
    <w:p>
      <w:pPr>
        <w:pStyle w:val="869"/>
        <w:jc w:val="both"/>
        <w:sectPr>
          <w:footnotePr/>
          <w:endnotePr/>
          <w:type w:val="nextPage"/>
          <w:pgSz w:w="16838" w:h="11906" w:orient="landscape"/>
          <w:pgMar w:top="1134" w:right="851" w:bottom="1134" w:left="1418" w:header="708" w:footer="708" w:gutter="0"/>
          <w:cols w:num="1" w:sep="0" w:space="708" w:equalWidth="1"/>
          <w:docGrid w:linePitch="360"/>
        </w:sectPr>
      </w:pPr>
      <w:r/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Объемы финансирования инвестиций по проектам Программы определены в цен</w:t>
      </w:r>
      <w:r>
        <w:rPr>
          <w:sz w:val="28"/>
          <w:szCs w:val="28"/>
        </w:rPr>
        <w:t xml:space="preserve">ах отчетного года, носят оценочный характер и подлежат ежегодному уточнению, исходя из возможностей бюджетов и степени реализации мероприятий. Финансовое обеспечение программных инвестиционных проектов может осуществляться за счет средств бюджетов всех уро</w:t>
      </w:r>
      <w:r>
        <w:rPr>
          <w:sz w:val="28"/>
          <w:szCs w:val="28"/>
        </w:rPr>
        <w:t xml:space="preserve">вней на основании Законов Белгородской области, нормативно-правовых актов муниципального образования, утверждающих бюджет. Предоставление субсидий из областного бюджета, бюджетам муниципальных образований Белгородской области осуществляется в соответствии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Правилами, устанавливаемыми Субъектом Р</w:t>
      </w:r>
      <w:r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едерации</w:t>
      </w:r>
      <w:r>
        <w:rPr>
          <w:sz w:val="28"/>
          <w:szCs w:val="28"/>
        </w:rPr>
        <w:t xml:space="preserve">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Результаты реализации Программы определяются с достижением уровня запланированных технических и финансово-экономических целевых показателей. 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требований к конечному состоянию коммунальной инфраструктуры применяются показатели и индикаторы в соответствии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Методикой проведения мониторинга выполнения производственных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инвестиционных программ организаций коммунального комплекса, утвержденной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Министерства регионального развития Российской Федерации от 14</w:t>
      </w:r>
      <w:r>
        <w:rPr>
          <w:sz w:val="28"/>
          <w:szCs w:val="28"/>
        </w:rPr>
        <w:t xml:space="preserve"> апреля </w:t>
      </w:r>
      <w:r>
        <w:rPr>
          <w:sz w:val="28"/>
          <w:szCs w:val="28"/>
        </w:rPr>
        <w:t xml:space="preserve">2008 г</w:t>
      </w:r>
      <w:r>
        <w:rPr>
          <w:sz w:val="28"/>
          <w:szCs w:val="28"/>
        </w:rPr>
        <w:t xml:space="preserve">ода</w:t>
      </w:r>
      <w:r>
        <w:rPr>
          <w:sz w:val="28"/>
          <w:szCs w:val="28"/>
        </w:rPr>
        <w:t xml:space="preserve"> № 48.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Охват потребителей услугами используется для оценки качества работы систем жизнеобеспечения.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Уровень использования производственных мощностей, обеспеченность приборами учета, характеризуют сбалансированность систем.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Качество оказываемых услуг организациями коммунального комплекса характеризует соответствие качества оказываемых услуг установленным ГОСТам, эпидемиологическим нормам и правилам.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Надежность обслуживания систем жизнеобеспечения характеризует способность коммунальных объектов обеспечиват</w:t>
      </w:r>
      <w:r>
        <w:rPr>
          <w:sz w:val="28"/>
          <w:szCs w:val="28"/>
        </w:rPr>
        <w:t xml:space="preserve">ь жизнедеятельность муниципального образования 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Надежность работы объектов коммунальной инфраструктуры характеризуется обратно</w:t>
      </w:r>
      <w:r>
        <w:rPr>
          <w:sz w:val="28"/>
          <w:szCs w:val="28"/>
        </w:rPr>
        <w:t xml:space="preserve">й величиной – интенсивностью отказов (количеством аварий и повреждений на единицу масштаба объекта, например на 1 км инженерных сетей); износом коммунальных сетей, протяженностью сетей, нуждающихся в замене; долей ежегодно заменяемых сетей; уровнем потерь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неучтенных расходов. 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Ресурсная эффективность определяет рациональность использования ресурсов, характеризуется следующими показателями: удельный расход электроэнергии, удельный расход топлива.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Результатами реализация мероприятий по системе теплоснабжения муниципального образования являются:</w:t>
      </w:r>
      <w:r/>
    </w:p>
    <w:p>
      <w:pPr>
        <w:pStyle w:val="869"/>
        <w:numPr>
          <w:ilvl w:val="0"/>
          <w:numId w:val="14"/>
        </w:numPr>
        <w:ind w:left="0" w:firstLine="70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обеспечение возможности подключения строящихся объектов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 системе теплоснабжения при гарантированном объеме заявленной мощности;</w:t>
      </w:r>
      <w:r/>
    </w:p>
    <w:p>
      <w:pPr>
        <w:pStyle w:val="869"/>
        <w:numPr>
          <w:ilvl w:val="0"/>
          <w:numId w:val="14"/>
        </w:numPr>
        <w:ind w:left="0" w:firstLine="70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значений;</w:t>
      </w:r>
      <w:r/>
    </w:p>
    <w:p>
      <w:pPr>
        <w:pStyle w:val="869"/>
        <w:numPr>
          <w:ilvl w:val="0"/>
          <w:numId w:val="14"/>
        </w:numPr>
        <w:ind w:left="0" w:firstLine="70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улучшение качества жилищно-коммунального обслуживания населения по системе теплоснабжения.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Результатами реализация мероприятий по развитию систем водоснабжения муниципального образования являются:</w:t>
      </w:r>
      <w:r/>
    </w:p>
    <w:p>
      <w:pPr>
        <w:pStyle w:val="869"/>
        <w:numPr>
          <w:ilvl w:val="0"/>
          <w:numId w:val="14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обеспечение бесперебойной подачи качественной воды от источника до потребителя;</w:t>
      </w:r>
      <w:r/>
    </w:p>
    <w:p>
      <w:pPr>
        <w:pStyle w:val="869"/>
        <w:numPr>
          <w:ilvl w:val="0"/>
          <w:numId w:val="14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улучшение качества жилищно-коммунального обслуживания населения по системе водоснабжения;</w:t>
      </w:r>
      <w:r/>
    </w:p>
    <w:p>
      <w:pPr>
        <w:pStyle w:val="869"/>
        <w:numPr>
          <w:ilvl w:val="0"/>
          <w:numId w:val="14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обеспечение энергосбережения;</w:t>
      </w:r>
      <w:r/>
    </w:p>
    <w:p>
      <w:pPr>
        <w:pStyle w:val="869"/>
        <w:numPr>
          <w:ilvl w:val="0"/>
          <w:numId w:val="14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обеспечение возможности подключения строящихся объектов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 системе водоснабжения при гарантированном объеме заявленной мощности.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Результатами реализация мероприятий по развитию систем водоотведения являются:</w:t>
      </w:r>
      <w:r/>
    </w:p>
    <w:p>
      <w:pPr>
        <w:pStyle w:val="869"/>
        <w:numPr>
          <w:ilvl w:val="0"/>
          <w:numId w:val="15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обеспечение возможности подключения строящихся объектов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 системе водоотведения при гарантированном объеме заявленной мощности;</w:t>
      </w:r>
      <w:r/>
    </w:p>
    <w:p>
      <w:pPr>
        <w:pStyle w:val="869"/>
        <w:numPr>
          <w:ilvl w:val="0"/>
          <w:numId w:val="15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повышение надежности и обеспечение бесперебойной работы объектов водоотведения;</w:t>
      </w:r>
      <w:r/>
    </w:p>
    <w:p>
      <w:pPr>
        <w:pStyle w:val="869"/>
        <w:numPr>
          <w:ilvl w:val="0"/>
          <w:numId w:val="15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уменьшение техногенного воздействия на среду обитания;</w:t>
      </w:r>
      <w:r/>
    </w:p>
    <w:p>
      <w:pPr>
        <w:pStyle w:val="869"/>
        <w:numPr>
          <w:ilvl w:val="0"/>
          <w:numId w:val="15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улучшение качества жилищно-коммунального обслуживания населения по системе водоотведения;</w:t>
      </w:r>
      <w:r/>
    </w:p>
    <w:p>
      <w:pPr>
        <w:pStyle w:val="869"/>
        <w:numPr>
          <w:ilvl w:val="0"/>
          <w:numId w:val="15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обеспечение энергосбережения.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Реализация мероприятий по системе электроснабжения позволит достичь следующего эффекта:</w:t>
      </w:r>
      <w:r/>
    </w:p>
    <w:p>
      <w:pPr>
        <w:pStyle w:val="869"/>
        <w:numPr>
          <w:ilvl w:val="0"/>
          <w:numId w:val="16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обеспечение бесперебойного электроснабжения;</w:t>
      </w:r>
      <w:r/>
    </w:p>
    <w:p>
      <w:pPr>
        <w:pStyle w:val="869"/>
        <w:numPr>
          <w:ilvl w:val="0"/>
          <w:numId w:val="16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повышение качества и надежности электроснабжения, снижение уровня потерь;</w:t>
      </w:r>
      <w:r/>
    </w:p>
    <w:p>
      <w:pPr>
        <w:pStyle w:val="869"/>
        <w:numPr>
          <w:ilvl w:val="0"/>
          <w:numId w:val="16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обеспечение резерва мощности, необходимого для электроснабжения районов, планируемых к застройке.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Реализация программных мероприятий по системе газоснабжения позволит достичь следующего эффекта:</w:t>
      </w:r>
      <w:r/>
    </w:p>
    <w:p>
      <w:pPr>
        <w:pStyle w:val="869"/>
        <w:numPr>
          <w:ilvl w:val="0"/>
          <w:numId w:val="17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обеспечение надежности и бесперебойности газоснабжения;</w:t>
      </w:r>
      <w:r/>
    </w:p>
    <w:p>
      <w:pPr>
        <w:pStyle w:val="869"/>
        <w:numPr>
          <w:ilvl w:val="0"/>
          <w:numId w:val="17"/>
        </w:numPr>
        <w:ind w:left="0" w:firstLine="70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обеспечение возможности строительства и ввода в эксплуатацию систем газоснабжения по частям.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Реализация программных мероприятий в сфере захоронения (утилизации) ТКО обеспечит улучшение экологической обстановки.</w:t>
      </w:r>
      <w:r/>
    </w:p>
    <w:p>
      <w:pPr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9"/>
        <w:ind w:firstLine="0"/>
        <w:jc w:val="center"/>
        <w:spacing w:line="240" w:lineRule="auto"/>
        <w:rPr>
          <w:b/>
          <w:sz w:val="28"/>
          <w:szCs w:val="28"/>
        </w:rPr>
        <w:outlineLvl w:val="0"/>
      </w:pPr>
      <w:r/>
      <w:bookmarkStart w:id="27" w:name="_Toc533014875"/>
      <w:r>
        <w:rPr>
          <w:b/>
          <w:sz w:val="28"/>
          <w:szCs w:val="28"/>
        </w:rPr>
        <w:t xml:space="preserve">6. </w:t>
      </w:r>
      <w:r>
        <w:rPr>
          <w:b/>
          <w:sz w:val="28"/>
          <w:szCs w:val="28"/>
        </w:rPr>
        <w:t xml:space="preserve">Источники инвестиций, тарифы и доступность программы для населения.</w:t>
      </w:r>
      <w:bookmarkEnd w:id="27"/>
      <w:r/>
      <w:r/>
    </w:p>
    <w:p>
      <w:pPr>
        <w:pStyle w:val="869"/>
        <w:numPr>
          <w:ilvl w:val="1"/>
          <w:numId w:val="13"/>
        </w:numPr>
        <w:ind w:left="0" w:firstLine="0"/>
        <w:jc w:val="center"/>
        <w:spacing w:line="240" w:lineRule="auto"/>
        <w:rPr>
          <w:b/>
          <w:sz w:val="28"/>
          <w:szCs w:val="28"/>
        </w:rPr>
        <w:outlineLvl w:val="1"/>
      </w:pPr>
      <w:r/>
      <w:bookmarkStart w:id="28" w:name="_Toc533014876"/>
      <w:r>
        <w:rPr>
          <w:b/>
          <w:sz w:val="28"/>
          <w:szCs w:val="28"/>
        </w:rPr>
        <w:t xml:space="preserve">Объемы и источники инвестиций</w:t>
      </w:r>
      <w:bookmarkEnd w:id="28"/>
      <w:r/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 рассматриваемой форме реализации инвестиционных проектов наиболее эффективными по критерию минимизации стоимости ресурсов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для муниципального образования будут являться механизмы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их финансирования: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с привлечением бюджетных средств (для оплаты части инвестиционных проектов или оплаты процентов по заемным средствам):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ab/>
        <w:t xml:space="preserve">федеральный бюджет;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ab/>
        <w:t xml:space="preserve">о</w:t>
      </w:r>
      <w:r>
        <w:rPr>
          <w:sz w:val="28"/>
          <w:szCs w:val="28"/>
        </w:rPr>
        <w:t xml:space="preserve">бластной бюджет;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ab/>
        <w:t xml:space="preserve">местный бюджет;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за счёт собственных средств предприятий: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ab/>
        <w:t xml:space="preserve">за счет платы (тарифа) на подключение вновь создаваемых (реконструируемых) объектов недвижимости к системам коммунальной инфраструктуры и тарифов организации коммунального комплекса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подключение;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ab/>
        <w:t xml:space="preserve">надбавки к ценам (тарифам) для потребителей товаров и услуг организаций коммунального комплекса и надбавок к тарифам на товары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услуги организаций коммунального комплекса;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ab/>
        <w:t xml:space="preserve">амортизационные отчисления.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Иные механизмы финансирования инвестиционных проектов предполагают включение в расходы на их реализацию платы за привлечение заемных средств инвесторов (кредитных организаций), увеличивая стоимость ресурсов для потребителей.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Объемы финансирования инвестиций по проектам Программы определены в ценах отчетного года, носят оценочный характер и подлежат ежегодному уточнению, исходя из возможностей бюджетов и степени реализации мероприятий.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1 квартале года, следующего за отчетным, Программа ежегодно корректируется Координатором по итогам фактического финансирования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из всех видов источников.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9"/>
        <w:numPr>
          <w:ilvl w:val="1"/>
          <w:numId w:val="13"/>
        </w:numPr>
        <w:ind w:left="0" w:firstLine="0"/>
        <w:jc w:val="center"/>
        <w:spacing w:line="240" w:lineRule="auto"/>
        <w:rPr>
          <w:b/>
          <w:sz w:val="28"/>
          <w:szCs w:val="28"/>
        </w:rPr>
        <w:outlineLvl w:val="1"/>
      </w:pPr>
      <w:r/>
      <w:bookmarkStart w:id="29" w:name="_Toc533014877"/>
      <w:r>
        <w:rPr>
          <w:b/>
          <w:sz w:val="28"/>
          <w:szCs w:val="28"/>
        </w:rPr>
        <w:t xml:space="preserve">Краткое описание форм организации проектов</w:t>
      </w:r>
      <w:bookmarkEnd w:id="29"/>
      <w:r/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Инвестиционные проекты, включенные в Программу, могут быть реализованы в следующих формах: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проекты, реализуемые действующими организациями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территории муниципального образования;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проекты, выставляемые на конкурс для привлечения сторонних инвесторов (в том числе организации, индивидуальные предприниматели, по договору коммерческой концессии (подрядные организации, определенные на конкурсной основе);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проекты, для реализации которых создаются организации с участием муниципального образования;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проекты, для реализации которых создаются организации с участием действующих ресурсоснабжающих организаций.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Основной формой реализац</w:t>
      </w:r>
      <w:r>
        <w:rPr>
          <w:sz w:val="28"/>
          <w:szCs w:val="28"/>
        </w:rPr>
        <w:t xml:space="preserve">ии Программы является разработка инвестиционных программ организаций коммунального комплекса (водоснабжения, водоотведения), организаций, осуществляющих регулируемые виды деятельности в сфере электроснабжения, теплоснабжения, газоснабжения, утилизации ТКО.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Выбор формы реализации инвестиционных проектов определяется структурой источников финансирования мероприятий и степенью участия организаций коммунального комплекса в их реализации.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Выбор формы реализации инвестиционных проектов должен основываться на совокупной оценке следующих критериев: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источник финансирования инвестиционных проектов (бюджетный, внебюджетный);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технологическая связанность реализуемых инвестиционных проектов с существующей коммунальной инфраструктурой;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экономическая целесообразность выбора формы реализации инвестиционных проектов, основанная на сопоставлении расходов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организацию данных форм.</w:t>
      </w:r>
      <w:r/>
    </w:p>
    <w:p>
      <w:pPr>
        <w:pStyle w:val="869"/>
        <w:jc w:val="both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Особенности принятия инвестиционных программ организаций коммунального комплекса.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Источниками покрытия финансовых потребностей инвестиционных программ являются надбавки к тарифам для потребителей и плата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за подключение к сетям инженерной инфраструктуры. Предложения о размере надбавки к ценам (тарифам) для потребителей и соответствующей надбавке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 тарифам на товары и услуги организации коммунального комплекса, а также предложения о размерах тарифа на подключение к системе коммунальной инфраструктуры и тарифа организации коммунального комплекса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подключение подготавливает орган регулирования.</w:t>
      </w:r>
      <w:r/>
    </w:p>
    <w:p>
      <w:pPr>
        <w:pStyle w:val="869"/>
        <w:jc w:val="both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Особенности принятия инвестиционных программ организаций, осуществляющих регулируемые виды деятельности в сфере теплоснабжения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Инвестиционная программа организации, осуществляющей регулируемые виды деятельности в сфере теплоснабжения, - программа финансирования меро</w:t>
      </w:r>
      <w:r>
        <w:rPr>
          <w:sz w:val="28"/>
          <w:szCs w:val="28"/>
        </w:rPr>
        <w:t xml:space="preserve">приятий организации,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источников тепловой энергии и (или) тепловых сетей в целях развития, повышения надежности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энергетической эффективности системы теплоснабжения, подключения теплопотребляющих установок потребителей тепловой энергии к системе теплоснабжения.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Инвестиционные программы организаций, осуществляющих регулируемые виды деятельности в сфере теплоснабжения, согласно требованиям Федерального закона от 27</w:t>
      </w:r>
      <w:r>
        <w:rPr>
          <w:sz w:val="28"/>
          <w:szCs w:val="28"/>
        </w:rPr>
        <w:t xml:space="preserve"> июля </w:t>
      </w:r>
      <w:r>
        <w:rPr>
          <w:sz w:val="28"/>
          <w:szCs w:val="28"/>
        </w:rPr>
        <w:t xml:space="preserve">2010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 190-ФЗ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(в редакции Федерального закона </w:t>
      </w:r>
      <w:r>
        <w:rPr>
          <w:sz w:val="28"/>
          <w:szCs w:val="28"/>
        </w:rPr>
        <w:t xml:space="preserve">от 01</w:t>
      </w:r>
      <w:r>
        <w:rPr>
          <w:sz w:val="28"/>
          <w:szCs w:val="28"/>
        </w:rPr>
        <w:t xml:space="preserve"> мая 2022 года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 теплоснабжении» утверждаются органами государственной власти субъектов Российской Федерации по согласованию с органами местного самоуправления.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Правила согласования и утверждения инвестиционных программ организаций, осуществляющих регулируемые виды деятельности в сфере теплоснабжения, утверждает Правительство Российской Федерации.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Источники покрытия финансовых потребностей инвестиционных программ организаций - производителей товаров и услуг в сфере теплоснабжения определяются согласно Правилам, утвержденным Постановлением Правительства Р</w:t>
      </w:r>
      <w:r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едерации</w:t>
      </w:r>
      <w:r>
        <w:rPr>
          <w:sz w:val="28"/>
          <w:szCs w:val="28"/>
        </w:rPr>
        <w:t xml:space="preserve"> от 23</w:t>
      </w:r>
      <w:r>
        <w:rPr>
          <w:sz w:val="28"/>
          <w:szCs w:val="28"/>
        </w:rPr>
        <w:t xml:space="preserve"> июля </w:t>
      </w:r>
      <w:r>
        <w:rPr>
          <w:sz w:val="28"/>
          <w:szCs w:val="28"/>
        </w:rPr>
        <w:t xml:space="preserve">2007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 464 «Об утверждении правил финансирования инвестиционных программ организаций коммунального комплекса - производителей товаров и услуг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сфере теплоснабжения».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Инвестиционные проекты в сфере теплоснабжения планируется</w:t>
      </w:r>
      <w:r>
        <w:rPr>
          <w:sz w:val="28"/>
          <w:szCs w:val="28"/>
        </w:rPr>
        <w:t xml:space="preserve"> реализовать за счет внебюджетных источников. Возможность реализации инвестиционных проектов в сфере теплоснабжения с привлечением сторонних инвесторов на конкурсной основе должна рассматриваться с учетом условий договоров аренды имущественного комплекса. </w:t>
      </w:r>
      <w:r/>
    </w:p>
    <w:p>
      <w:pPr>
        <w:pStyle w:val="869"/>
        <w:jc w:val="both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Особенности принятия инвестиционных программ субъектов электроэнергетики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Инвестиционная программа субъектов электроэнергетики - совокупность всех намечаемых к реализации или реализуемых субъектом электроэнергетики инвестиционных проектов.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Правительство Р</w:t>
      </w:r>
      <w:r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едерации</w:t>
      </w:r>
      <w:r>
        <w:rPr>
          <w:sz w:val="28"/>
          <w:szCs w:val="28"/>
        </w:rPr>
        <w:t xml:space="preserve"> в соответствии с требованиями Федерального закона от 26</w:t>
      </w:r>
      <w:r>
        <w:rPr>
          <w:sz w:val="28"/>
          <w:szCs w:val="28"/>
        </w:rPr>
        <w:t xml:space="preserve"> марта </w:t>
      </w:r>
      <w:r>
        <w:rPr>
          <w:sz w:val="28"/>
          <w:szCs w:val="28"/>
        </w:rPr>
        <w:t xml:space="preserve">2003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 35-ФЗ «Об электроэнергетике» устанавливает критерии отнесения субъектов электроэнергетики к числу субъектов, инвестиционные программы которых (включая определение источников их финансирования) утверждаются уполномоченным федеральным органом исполни</w:t>
      </w:r>
      <w:r>
        <w:rPr>
          <w:sz w:val="28"/>
          <w:szCs w:val="28"/>
        </w:rPr>
        <w:t xml:space="preserve">тельной власти и (или) органами исполнительной власти субъектов Российской Федерации, и порядок утверждения (в том числе порядок согласования с органами исполнительной власти субъектов Российской Федерации) инвестиционных программ и осуществления контроля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за реализацией таких программ.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Правила утверждения инвестиционных программ субъектов электроэнергетики, в уставных капиталах которых участвует государство,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сетевых организаций утверждены постановлением Правительства Р</w:t>
      </w:r>
      <w:r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едерации </w:t>
      </w:r>
      <w:r>
        <w:rPr>
          <w:sz w:val="28"/>
          <w:szCs w:val="28"/>
        </w:rPr>
        <w:t xml:space="preserve"> от 0</w:t>
      </w:r>
      <w:r>
        <w:rPr>
          <w:sz w:val="28"/>
          <w:szCs w:val="28"/>
        </w:rPr>
        <w:t xml:space="preserve">1 декабря </w:t>
      </w:r>
      <w:r>
        <w:rPr>
          <w:sz w:val="28"/>
          <w:szCs w:val="28"/>
        </w:rPr>
        <w:t xml:space="preserve">2009 г</w:t>
      </w:r>
      <w:r>
        <w:rPr>
          <w:sz w:val="28"/>
          <w:szCs w:val="28"/>
        </w:rPr>
        <w:t xml:space="preserve">ода</w:t>
      </w:r>
      <w:r>
        <w:rPr>
          <w:sz w:val="28"/>
          <w:szCs w:val="28"/>
        </w:rPr>
        <w:t xml:space="preserve"> № 977. 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Источниками покрытия финансовых потребностей инвестиционных программ субъектов электроэнергетики являются инвестиционные ресурсы, включаемые в регулируемые тарифы.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Инвестиционные проекты в сфере электроснабжения планируется реализовать за счет внебюджетных источников и технологически связанных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инфраструктурой действующих на территории муниципального образования территориальных сетевых организаций.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Исходя из приведенных условий инвестиционные проекты, реализуемые в системе электроснабжения муниципального образования, целесообразно осуществлять действующими сетевыми организациями.</w:t>
      </w:r>
      <w:r/>
    </w:p>
    <w:p>
      <w:pPr>
        <w:pStyle w:val="869"/>
        <w:jc w:val="both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Особенности принятия программ газификации муниципальных образований и специальных надбавок к тарифам организаций, осуществляющих регулируемые виды деятельности в сфере газоснабжения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целях дальнейшего развития газификации городского округа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в соответствии со статьей 17 Федерального закона от 31</w:t>
      </w:r>
      <w:r>
        <w:rPr>
          <w:sz w:val="28"/>
          <w:szCs w:val="28"/>
        </w:rPr>
        <w:t xml:space="preserve"> марта </w:t>
      </w:r>
      <w:r>
        <w:rPr>
          <w:sz w:val="28"/>
          <w:szCs w:val="28"/>
        </w:rPr>
        <w:t xml:space="preserve">1999</w:t>
      </w:r>
      <w:r>
        <w:rPr>
          <w:sz w:val="28"/>
          <w:szCs w:val="28"/>
        </w:rPr>
        <w:t xml:space="preserve"> года </w:t>
      </w:r>
      <w:r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 xml:space="preserve">№ 69-ФЗ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 газоснабжении в Российской Федерации» Правительство Российской Федерации своим Постановлением от 03</w:t>
      </w:r>
      <w:r>
        <w:rPr>
          <w:sz w:val="28"/>
          <w:szCs w:val="28"/>
        </w:rPr>
        <w:t xml:space="preserve"> марта </w:t>
      </w:r>
      <w:r>
        <w:rPr>
          <w:sz w:val="28"/>
          <w:szCs w:val="28"/>
        </w:rPr>
        <w:t xml:space="preserve">2001 г</w:t>
      </w:r>
      <w:r>
        <w:rPr>
          <w:sz w:val="28"/>
          <w:szCs w:val="28"/>
        </w:rPr>
        <w:t xml:space="preserve">ода</w:t>
      </w:r>
      <w:r>
        <w:rPr>
          <w:sz w:val="28"/>
          <w:szCs w:val="28"/>
        </w:rPr>
        <w:t xml:space="preserve"> № 335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по газораспределительным сетям могут включаться, по согласованию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газораспределительными организациями, специальные надбавки, предназначенные для финансирования программ газификации, утверждаемых органами исполнительной власти субъектов Российской Федерации.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Программы газификации – это комплекс мероприятий и деятельность, направленные на осуществление перевода потенциальных потребителей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использование природного газа и поддержание надежного и безопасного газоснабжения существующих потребителей.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Средства, привлекаемые за счет специальных надбавок, направляются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финансирование газификации жилищно-коммунального хозяйства, предусмотренной указанными программами.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Размер специальных надбавок определяется органами исполнительной власти субъектов Российской Федерации по методике, утверждаемой Федеральной службой по тарифам.</w:t>
      </w:r>
      <w:r/>
    </w:p>
    <w:p>
      <w:pPr>
        <w:pStyle w:val="869"/>
        <w:jc w:val="both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Специальные надбавки включаются в тарифы на транспортировку газа по газораспределительным сетям, установленные 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 xml:space="preserve">для соответствующей газораспределительной организации.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Методика определения размера специальных надбавок к тарифам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</w:t>
      </w:r>
      <w:r>
        <w:rPr>
          <w:sz w:val="28"/>
          <w:szCs w:val="28"/>
        </w:rPr>
        <w:t xml:space="preserve"> марта </w:t>
      </w:r>
      <w:r>
        <w:rPr>
          <w:sz w:val="28"/>
          <w:szCs w:val="28"/>
        </w:rPr>
        <w:t xml:space="preserve">1999 г</w:t>
      </w:r>
      <w:r>
        <w:rPr>
          <w:sz w:val="28"/>
          <w:szCs w:val="28"/>
        </w:rPr>
        <w:t xml:space="preserve">ода</w:t>
      </w:r>
      <w:r>
        <w:rPr>
          <w:sz w:val="28"/>
          <w:szCs w:val="28"/>
        </w:rPr>
        <w:t xml:space="preserve"> № 69-ФЗ «О газоснабжении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Российской Федерации», постановления Правительства Российской Федерации от 03</w:t>
      </w:r>
      <w:r>
        <w:rPr>
          <w:sz w:val="28"/>
          <w:szCs w:val="28"/>
        </w:rPr>
        <w:t xml:space="preserve"> мая </w:t>
      </w:r>
      <w:r>
        <w:rPr>
          <w:sz w:val="28"/>
          <w:szCs w:val="28"/>
        </w:rPr>
        <w:t xml:space="preserve">2001</w:t>
      </w:r>
      <w:r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№ 335 «О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утверждена приказом ФСТ России от 21</w:t>
      </w:r>
      <w:r>
        <w:rPr>
          <w:sz w:val="28"/>
          <w:szCs w:val="28"/>
        </w:rPr>
        <w:t xml:space="preserve"> июня </w:t>
      </w:r>
      <w:r>
        <w:rPr>
          <w:sz w:val="28"/>
          <w:szCs w:val="28"/>
        </w:rPr>
        <w:t xml:space="preserve">2011</w:t>
      </w:r>
      <w:r>
        <w:rPr>
          <w:sz w:val="28"/>
          <w:szCs w:val="28"/>
        </w:rPr>
        <w:t xml:space="preserve"> года №</w:t>
      </w:r>
      <w:r>
        <w:rPr>
          <w:sz w:val="28"/>
          <w:szCs w:val="28"/>
        </w:rPr>
        <w:t xml:space="preserve"> 154-э/4</w:t>
      </w:r>
      <w:r>
        <w:rPr>
          <w:sz w:val="28"/>
          <w:szCs w:val="28"/>
        </w:rPr>
        <w:t xml:space="preserve">.</w:t>
      </w:r>
      <w:r/>
    </w:p>
    <w:p>
      <w:pPr>
        <w:pStyle w:val="869"/>
        <w:ind w:firstLine="0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9"/>
        <w:numPr>
          <w:ilvl w:val="1"/>
          <w:numId w:val="13"/>
        </w:numPr>
        <w:ind w:left="0" w:firstLine="709"/>
        <w:jc w:val="both"/>
        <w:spacing w:line="240" w:lineRule="auto"/>
        <w:rPr>
          <w:b/>
          <w:sz w:val="28"/>
          <w:szCs w:val="28"/>
        </w:rPr>
        <w:outlineLvl w:val="1"/>
      </w:pPr>
      <w:r/>
      <w:bookmarkStart w:id="30" w:name="_Toc533014878"/>
      <w:r>
        <w:rPr>
          <w:b/>
          <w:sz w:val="28"/>
          <w:szCs w:val="28"/>
        </w:rPr>
        <w:t xml:space="preserve">Прогноз расходов населения на коммунальные услуги</w:t>
      </w:r>
      <w:bookmarkEnd w:id="30"/>
      <w:r/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Доля расходов населения на коммунальные услуги в совокупном доходе семьи в каждом конкретном году рассчитывается по фактичес</w:t>
      </w:r>
      <w:r>
        <w:rPr>
          <w:sz w:val="28"/>
          <w:szCs w:val="28"/>
        </w:rPr>
        <w:t xml:space="preserve">ким статистическим данным, содержащимся в форме 22-ЖКХ (жилище) 22-ЖКХ (ресурсы) конкретного муниципального образования, а также статистическим данным о его социально-экономическом развитии (в части численности населения и среднедушевых доходов населения).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Согласно Приказа Министерства регионального развития Российской Федерации от 23 августа 2010 г</w:t>
      </w:r>
      <w:r>
        <w:rPr>
          <w:sz w:val="28"/>
          <w:szCs w:val="28"/>
        </w:rPr>
        <w:t xml:space="preserve">ода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378 «Об утверждении методических указаний по расчету предельных индексов изменения размера платы граждан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за коммунальные усл</w:t>
      </w:r>
      <w:r>
        <w:rPr>
          <w:sz w:val="28"/>
          <w:szCs w:val="28"/>
        </w:rPr>
        <w:t xml:space="preserve">уги» оценка доступности для граждан прогнозируемой платы за коммунальные услуги по критерию «доля расходов на коммунальные услуги в совокупном доходе семьи» проводится путем сопоставления прогнозируемой доли расходов средней семьи (среднего домохозяйства)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жилищно-коммунальные услуги (а в их составе на коммунальные услуги)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среднем прогнозном доходе семьи со значением соответствующего критерия.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Если рассчитанная доля прогнозных расходов средней семьи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коммунальные услуги в среднем прогнозном доходе семьи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рассм</w:t>
      </w:r>
      <w:r>
        <w:rPr>
          <w:sz w:val="28"/>
          <w:szCs w:val="28"/>
        </w:rPr>
        <w:t xml:space="preserve">атриваемом муниципальном образовании превышает заданное значение данного критерия, то необходим пересмотр проекта тарифов ресурсоснабжающих организаций или выделение дополнительных бюджетных средств на выплату субсидий и мер социальной поддержки населению.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 определении критерия доли расходов на жилищно-комм</w:t>
      </w:r>
      <w:r>
        <w:rPr>
          <w:sz w:val="28"/>
          <w:szCs w:val="28"/>
        </w:rPr>
        <w:t xml:space="preserve">унальные услуги, а в их составе на коммунальные услуги в конкретных субъектах Российской Федерации и муниципальных образованиях учитываются среднедушевые доходы населения в них, а также обеспеченность коммунальными услугами и особенности их предоставления.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69"/>
        <w:numPr>
          <w:ilvl w:val="0"/>
          <w:numId w:val="13"/>
        </w:numPr>
        <w:ind w:left="1134"/>
        <w:jc w:val="both"/>
        <w:spacing w:line="240" w:lineRule="auto"/>
        <w:rPr>
          <w:b/>
          <w:sz w:val="28"/>
          <w:szCs w:val="28"/>
        </w:rPr>
        <w:outlineLvl w:val="0"/>
      </w:pPr>
      <w:r/>
      <w:bookmarkStart w:id="31" w:name="_Toc533014879"/>
      <w:r>
        <w:rPr>
          <w:b/>
          <w:sz w:val="28"/>
          <w:szCs w:val="28"/>
        </w:rPr>
        <w:t xml:space="preserve">Управление программой.</w:t>
      </w:r>
      <w:bookmarkEnd w:id="31"/>
      <w:r/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Система управления Программой и контроль хода ее выполнения определяется в соответствии с требованиями действующего федерального, регионального и муниципального законодательства.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Механизм реализации Программы базируется на принципах разграничения полномочий и ответственности всех исполнителей Программы. 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Заказчиком Программы является администрация муниципального образования. Ответственным за реализацию Программы является администрация муниципального образования.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 xml:space="preserve">реализации программы возлагается на администрацию муниципального образования в рамках исполнения полномочий органов местного самоуправления, а также предприятиями коммунального комплекса муниципального образования, в том числе теплоснабжающей организацией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субъектами электроэнергетики муниципального образования.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Основными функциями администрации муниципального образования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по реализации Программы являются: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оценка эффективности использования финансовых средств;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вынесение заключения по вопросу возможности выделения бюджетных средств на реализацию Программы;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реализация мероприятий Программы;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подготовка и уточнение перечня программных мероприятий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финансовых потребностей на их реализацию;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организационное, техническое и методическое содействие организациям, участвующим в реализации Программы;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обеспечение взаимодействия органов местного самоуправления Муниципального образования и организаций, участвующих в реализации Программы;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мониторинг и анализ реализации Программы;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сбор информации о ходе выполнения производственных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инвестиционных программ организаций в рамках проведения мониторинга Программы;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осуществление оценки эффективности Программы и расчет целевых показателей и индикаторов реализации Программы;</w:t>
      </w:r>
      <w:r/>
    </w:p>
    <w:p>
      <w:pPr>
        <w:pStyle w:val="869"/>
        <w:jc w:val="both"/>
        <w:spacing w:line="240" w:lineRule="auto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осуществление мероприятий в сфере информационного освещения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сопровождения реализации Программы.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рамках осуществляемых полномочий администрация муниципального образования подготавливает соответствующие необходимые документы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для использования организациями, участвующими в реализации Программы.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Общий контроль за ходом реализации Программы осуществляет администрация муниципального образования.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Финансовое обеспечение мероприятий Программы осуществляется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за счет средств бюджета муниципального образования, бюджета Белгородской области, а также средств организаций коммунального комплек</w:t>
      </w:r>
      <w:r>
        <w:rPr>
          <w:sz w:val="28"/>
          <w:szCs w:val="28"/>
        </w:rPr>
        <w:t xml:space="preserve">са, осуществляющих деятельность на территории муниципального образования, включенных в соответствующие проекты инвестиционных программ. Инвестиционными источниками организаций коммунального комплекса являются амортизация, прибыль, а также заемные средства.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 реализации мероприятий могут привлекаться средства регионального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федерального бюджетов в рамках финансирования региональных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федеральных программ по развитию систем коммунальной инфраструктуры.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Объемы финансирования Программы за счет средств бюджета муниципального образования носят прогнозный характер и подлежат уточнению в установленном порядке при формировании и утверждении проекта бюджета муниципального образования на очередной финансовый год.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Инструментом реализации Программы являются инвестиционные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производственные программы организаций коммунального комплекса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(в том числе в сферах электро-, тепло-, водоснабжения, водоотведения, очистки сточных вод, утилизации (захоронения) твердых бытовых отходов). 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Одним из источников финансирования таких программ организаций коммунального комплекса являются тарифы, в </w:t>
      </w:r>
      <w:r>
        <w:rPr>
          <w:sz w:val="28"/>
          <w:szCs w:val="28"/>
        </w:rPr>
        <w:t xml:space="preserve">том числе долгосрочные, надбавки к тарифам, инвестиционные составляющие в тарифах, утвержденные с учетом их доступности для потребителей, а также тариф на подключение (плата за подключение) к системе коммунальной инфраструктуры, получаемая от застройщиков.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При недоступности тарифов или надбавок частичное финансирование осуществляется за счет бюджетных источников. 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Внес</w:t>
      </w:r>
      <w:r>
        <w:rPr>
          <w:sz w:val="28"/>
          <w:szCs w:val="28"/>
        </w:rPr>
        <w:t xml:space="preserve">ение изменений в Программу (корректировка Программы) осуществляется по итогам анализа отчета о ходе выполнения Программы путем внесения изменений в соответствующее постановление администрации Грайворонского городского округа,, которым утверждена Программа 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Корректировка Программы осуществляется в случаях:</w:t>
      </w:r>
      <w:r/>
    </w:p>
    <w:p>
      <w:pPr>
        <w:pStyle w:val="869"/>
        <w:jc w:val="both"/>
        <w:spacing w:line="240" w:lineRule="auto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отклонений в выполнении мероприятий Программы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предшествующий период;</w:t>
      </w:r>
      <w:r/>
    </w:p>
    <w:p>
      <w:pPr>
        <w:pStyle w:val="869"/>
        <w:jc w:val="both"/>
        <w:spacing w:line="240" w:lineRule="auto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приведения объемов финансирования Программы в соответствие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фактическим уровнем цен и фактическими условиями бюджетного финансирования;</w:t>
      </w:r>
      <w:r/>
    </w:p>
    <w:p>
      <w:pPr>
        <w:pStyle w:val="869"/>
        <w:jc w:val="both"/>
        <w:spacing w:line="240" w:lineRule="auto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снижения результативности и эффективности использования средств бюджетной системы;</w:t>
      </w:r>
      <w:r/>
    </w:p>
    <w:p>
      <w:pPr>
        <w:pStyle w:val="869"/>
        <w:jc w:val="both"/>
        <w:spacing w:line="240" w:lineRule="auto"/>
        <w:tabs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•</w:t>
      </w:r>
      <w:r>
        <w:rPr>
          <w:sz w:val="28"/>
          <w:szCs w:val="28"/>
        </w:rPr>
        <w:tab/>
        <w:t xml:space="preserve">уточнения мероприятий, сроков реализации, объемов финансирования мероприятий.</w:t>
      </w:r>
      <w:r/>
    </w:p>
    <w:p>
      <w:pPr>
        <w:pStyle w:val="869"/>
        <w:jc w:val="both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22"/>
        <w:ind w:left="0" w:firstLine="567"/>
        <w:jc w:val="both"/>
        <w:spacing w:before="240"/>
      </w:pPr>
      <w:r/>
      <w:r/>
    </w:p>
    <w:p>
      <w:pPr>
        <w:jc w:val="both"/>
        <w:tabs>
          <w:tab w:val="left" w:pos="1134" w:leader="none"/>
        </w:tabs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jc w:val="both"/>
        <w:tabs>
          <w:tab w:val="left" w:pos="1134" w:leader="none"/>
        </w:tabs>
      </w:pPr>
      <w:r/>
      <w:r/>
    </w:p>
    <w:sectPr>
      <w:headerReference w:type="default" r:id="rId11"/>
      <w:footnotePr/>
      <w:endnotePr/>
      <w:type w:val="nextPage"/>
      <w:pgSz w:w="11906" w:h="16838" w:orient="portrait"/>
      <w:pgMar w:top="1134" w:right="567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Symbol">
    <w:panose1 w:val="05050102010706020507"/>
  </w:font>
  <w:font w:name="Calibri Light">
    <w:panose1 w:val="020F0302020204030204"/>
  </w:font>
  <w:font w:name="Courier New">
    <w:panose1 w:val="02070309020205020404"/>
  </w:font>
  <w:font w:name="Mangal">
    <w:panose1 w:val="02040503050203030202"/>
  </w:font>
  <w:font w:name="Gungsuh">
    <w:panose1 w:val="02030600000101010101"/>
  </w:font>
  <w:font w:name="Georgia">
    <w:panose1 w:val="02040502050405020303"/>
  </w:font>
  <w:font w:name="Microsoft Sans Serif">
    <w:panose1 w:val="020B0604020202020204"/>
  </w:font>
  <w:font w:name="Cambria">
    <w:panose1 w:val="02040503050406030204"/>
  </w:font>
  <w:font w:name="arial cyr">
    <w:panose1 w:val="020B0604020202020204"/>
  </w:font>
  <w:font w:name="Franklin Gothic Heavy">
    <w:panose1 w:val="020B0903020102020204"/>
  </w:font>
  <w:font w:name="Tahoma">
    <w:panose1 w:val="020B0604030504040204"/>
  </w:font>
  <w:font w:name="Arial Unicode MS">
    <w:panose1 w:val="020B0604020202020204"/>
  </w:font>
  <w:font w:name="Arial">
    <w:panose1 w:val="020B0604020202020204"/>
  </w:font>
  <w:font w:name="Arial Narrow">
    <w:panose1 w:val="020B0606020202030204"/>
  </w:font>
  <w:font w:name="Times New Roman">
    <w:panose1 w:val="020206030504050203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538424769"/>
      <w:showingPlcHdr w:val="true"/>
      <w:rPr/>
    </w:sdtPr>
    <w:sdtContent>
      <w:p>
        <w:pPr>
          <w:pStyle w:val="835"/>
          <w:jc w:val="right"/>
        </w:pPr>
        <w:r>
          <w:t xml:space="preserve">     </w:t>
        </w:r>
        <w:r/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3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2354444"/>
      <w:rPr/>
    </w:sdtPr>
    <w:sdtContent>
      <w:p>
        <w:pPr>
          <w:pStyle w:val="833"/>
          <w:jc w:val="center"/>
        </w:pPr>
        <w:fldSimple w:instr="PAGE \* MERGEFORMAT">
          <w:r>
            <w:t xml:space="preserve">1</w:t>
          </w:r>
        </w:fldSimple>
        <w:r/>
        <w:r/>
      </w:p>
    </w:sdtContent>
  </w:sdt>
  <w:p>
    <w:pPr>
      <w:pStyle w:val="833"/>
      <w:jc w:val="center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2354419"/>
      <w:rPr/>
    </w:sdtPr>
    <w:sdtContent>
      <w:p>
        <w:pPr>
          <w:pStyle w:val="833"/>
          <w:jc w:val="center"/>
        </w:pPr>
        <w:fldSimple w:instr="PAGE \* MERGEFORMAT">
          <w:r>
            <w:t xml:space="preserve">1</w:t>
          </w:r>
        </w:fldSimple>
        <w:r/>
        <w:r/>
      </w:p>
    </w:sdtContent>
  </w:sdt>
  <w:p>
    <w:pPr>
      <w:pStyle w:val="833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31479052"/>
      <w:rPr/>
    </w:sdtPr>
    <w:sdtContent>
      <w:p>
        <w:pPr>
          <w:pStyle w:val="833"/>
          <w:jc w:val="center"/>
        </w:pPr>
        <w:fldSimple w:instr="PAGE \* MERGEFORMAT">
          <w:r>
            <w:t xml:space="preserve">1</w:t>
          </w:r>
        </w:fldSimple>
        <w:r/>
        <w:r/>
      </w:p>
    </w:sdtContent>
  </w:sdt>
  <w:p>
    <w:pPr>
      <w:pStyle w:val="83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nothing"/>
      <w:lvlText w:val="%1."/>
      <w:lvlJc w:val="center"/>
      <w:pPr>
        <w:ind w:left="0" w:firstLine="288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-"/>
      <w:lvlJc w:val="left"/>
      <w:pPr/>
      <w:rPr>
        <w:rFonts w:ascii="Times New Roman" w:hAnsi="Times New Roman" w:cs="Times New Roman" w:eastAsia="Times New Roman"/>
        <w:b w:val="0"/>
        <w:bCs w:val="0"/>
        <w:i w:val="0"/>
        <w:iCs w:val="0"/>
        <w:smallCaps w:val="0"/>
        <w:strike w:val="false"/>
        <w:color w:val="000000"/>
        <w:spacing w:val="0"/>
        <w:position w:val="0"/>
        <w:sz w:val="23"/>
        <w:szCs w:val="23"/>
        <w:u w:val="none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124" w:hanging="1224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nothing"/>
      <w:lvlText w:val="%1."/>
      <w:lvlJc w:val="center"/>
      <w:pPr>
        <w:ind w:left="0" w:firstLine="288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nothing"/>
      <w:lvlText w:val="%1."/>
      <w:lvlJc w:val="center"/>
      <w:pPr>
        <w:ind w:left="0" w:firstLine="288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46" w:hanging="1212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87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59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31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03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75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47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19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913" w:hanging="180"/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3">
    <w:multiLevelType w:val="hybridMultilevel"/>
    <w:lvl w:ilvl="0">
      <w:start w:val="1"/>
      <w:numFmt w:val="decimal"/>
      <w:pStyle w:val="1019"/>
      <w:isLgl w:val="false"/>
      <w:suff w:val="tab"/>
      <w:lvlText w:val="%1."/>
      <w:lvlJc w:val="left"/>
      <w:pPr>
        <w:ind w:left="1637" w:hanging="360"/>
      </w:pPr>
      <w:rPr>
        <w:b/>
      </w:rPr>
    </w:lvl>
    <w:lvl w:ilvl="1">
      <w:start w:val="1"/>
      <w:numFmt w:val="decimal"/>
      <w:isLgl/>
      <w:suff w:val="tab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717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717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077" w:hanging="180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num w:numId="1">
    <w:abstractNumId w:val="26"/>
  </w:num>
  <w:num w:numId="2">
    <w:abstractNumId w:val="18"/>
  </w:num>
  <w:num w:numId="3">
    <w:abstractNumId w:val="9"/>
  </w:num>
  <w:num w:numId="4">
    <w:abstractNumId w:val="8"/>
  </w:num>
  <w:num w:numId="5">
    <w:abstractNumId w:val="19"/>
  </w:num>
  <w:num w:numId="6">
    <w:abstractNumId w:val="11"/>
  </w:num>
  <w:num w:numId="7">
    <w:abstractNumId w:val="4"/>
  </w:num>
  <w:num w:numId="8">
    <w:abstractNumId w:val="13"/>
  </w:num>
  <w:num w:numId="9">
    <w:abstractNumId w:val="33"/>
  </w:num>
  <w:num w:numId="10">
    <w:abstractNumId w:val="20"/>
  </w:num>
  <w:num w:numId="11">
    <w:abstractNumId w:val="29"/>
  </w:num>
  <w:num w:numId="12">
    <w:abstractNumId w:val="28"/>
  </w:num>
  <w:num w:numId="13">
    <w:abstractNumId w:val="5"/>
  </w:num>
  <w:num w:numId="14">
    <w:abstractNumId w:val="14"/>
  </w:num>
  <w:num w:numId="15">
    <w:abstractNumId w:val="24"/>
  </w:num>
  <w:num w:numId="16">
    <w:abstractNumId w:val="1"/>
  </w:num>
  <w:num w:numId="17">
    <w:abstractNumId w:val="31"/>
  </w:num>
  <w:num w:numId="18">
    <w:abstractNumId w:val="21"/>
  </w:num>
  <w:num w:numId="19">
    <w:abstractNumId w:val="15"/>
  </w:num>
  <w:num w:numId="20">
    <w:abstractNumId w:val="7"/>
  </w:num>
  <w:num w:numId="21">
    <w:abstractNumId w:val="23"/>
  </w:num>
  <w:num w:numId="22">
    <w:abstractNumId w:val="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10"/>
  </w:num>
  <w:num w:numId="25">
    <w:abstractNumId w:val="27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34"/>
  </w:num>
  <w:num w:numId="29">
    <w:abstractNumId w:val="0"/>
  </w:num>
  <w:num w:numId="30">
    <w:abstractNumId w:val="12"/>
  </w:num>
  <w:num w:numId="31">
    <w:abstractNumId w:val="25"/>
  </w:num>
  <w:num w:numId="32">
    <w:abstractNumId w:val="17"/>
  </w:num>
  <w:num w:numId="33">
    <w:abstractNumId w:val="22"/>
  </w:num>
  <w:num w:numId="34">
    <w:abstractNumId w:val="27"/>
    <w:lvlOverride w:ilvl="0">
      <w:startOverride w:val="1"/>
    </w:lvlOverride>
  </w:num>
  <w:num w:numId="35">
    <w:abstractNumId w:val="35"/>
  </w:num>
  <w:num w:numId="36">
    <w:abstractNumId w:val="30"/>
  </w:num>
  <w:num w:numId="37">
    <w:abstractNumId w:val="16"/>
  </w:num>
  <w:num w:numId="38">
    <w:abstractNumId w:val="3"/>
  </w:num>
  <w:num w:numId="39">
    <w:abstractNumId w:val="6"/>
  </w:num>
  <w:num w:numId="40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Times New Roman" w:hint="default"/>
        <w:lang w:val="ru-RU" w:bidi="ar-SA" w:eastAsia="ru-RU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812"/>
    <w:link w:val="803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812"/>
    <w:link w:val="804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812"/>
    <w:link w:val="805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812"/>
    <w:link w:val="806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812"/>
    <w:link w:val="807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812"/>
    <w:link w:val="808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812"/>
    <w:link w:val="80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812"/>
    <w:link w:val="810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812"/>
    <w:link w:val="811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812"/>
    <w:link w:val="1264"/>
    <w:uiPriority w:val="10"/>
    <w:rPr>
      <w:sz w:val="48"/>
      <w:szCs w:val="48"/>
    </w:rPr>
  </w:style>
  <w:style w:type="paragraph" w:styleId="34">
    <w:name w:val="Subtitle"/>
    <w:basedOn w:val="802"/>
    <w:next w:val="802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812"/>
    <w:link w:val="34"/>
    <w:uiPriority w:val="11"/>
    <w:rPr>
      <w:sz w:val="24"/>
      <w:szCs w:val="24"/>
    </w:rPr>
  </w:style>
  <w:style w:type="paragraph" w:styleId="36">
    <w:name w:val="Quote"/>
    <w:basedOn w:val="802"/>
    <w:next w:val="802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character" w:styleId="39">
    <w:name w:val="Intense Quote Char"/>
    <w:link w:val="1017"/>
    <w:uiPriority w:val="30"/>
    <w:rPr>
      <w:i/>
    </w:rPr>
  </w:style>
  <w:style w:type="character" w:styleId="41">
    <w:name w:val="Header Char"/>
    <w:basedOn w:val="812"/>
    <w:link w:val="833"/>
    <w:uiPriority w:val="99"/>
  </w:style>
  <w:style w:type="character" w:styleId="43">
    <w:name w:val="Footer Char"/>
    <w:basedOn w:val="812"/>
    <w:link w:val="835"/>
    <w:uiPriority w:val="99"/>
  </w:style>
  <w:style w:type="character" w:styleId="45">
    <w:name w:val="Caption Char"/>
    <w:basedOn w:val="856"/>
    <w:link w:val="835"/>
    <w:uiPriority w:val="99"/>
  </w:style>
  <w:style w:type="table" w:styleId="47">
    <w:name w:val="Table Grid Light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3">
    <w:name w:val="footnote text"/>
    <w:basedOn w:val="802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812"/>
    <w:uiPriority w:val="99"/>
    <w:unhideWhenUsed/>
    <w:rPr>
      <w:vertAlign w:val="superscript"/>
    </w:rPr>
  </w:style>
  <w:style w:type="paragraph" w:styleId="176">
    <w:name w:val="endnote text"/>
    <w:basedOn w:val="802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812"/>
    <w:uiPriority w:val="99"/>
    <w:semiHidden/>
    <w:unhideWhenUsed/>
    <w:rPr>
      <w:vertAlign w:val="superscript"/>
    </w:rPr>
  </w:style>
  <w:style w:type="paragraph" w:styleId="189">
    <w:name w:val="table of figures"/>
    <w:basedOn w:val="802"/>
    <w:next w:val="802"/>
    <w:uiPriority w:val="99"/>
    <w:unhideWhenUsed/>
    <w:pPr>
      <w:spacing w:after="0" w:afterAutospacing="0"/>
    </w:pPr>
  </w:style>
  <w:style w:type="paragraph" w:styleId="802" w:default="1">
    <w:name w:val="Normal"/>
    <w:qFormat/>
    <w:rPr>
      <w:rFonts w:ascii="Times New Roman" w:hAnsi="Times New Roman" w:cs="Times New Roman"/>
      <w:sz w:val="24"/>
      <w:szCs w:val="24"/>
    </w:rPr>
  </w:style>
  <w:style w:type="paragraph" w:styleId="803">
    <w:name w:val="Heading 1"/>
    <w:basedOn w:val="802"/>
    <w:next w:val="802"/>
    <w:link w:val="839"/>
    <w:uiPriority w:val="9"/>
    <w:qFormat/>
    <w:pPr>
      <w:keepLines/>
      <w:keepNext/>
      <w:spacing w:before="480" w:line="276" w:lineRule="auto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804">
    <w:name w:val="Heading 2"/>
    <w:basedOn w:val="802"/>
    <w:next w:val="802"/>
    <w:link w:val="840"/>
    <w:uiPriority w:val="9"/>
    <w:unhideWhenUsed/>
    <w:qFormat/>
    <w:pPr>
      <w:keepLines/>
      <w:keepNext/>
      <w:spacing w:before="200" w:line="276" w:lineRule="auto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eastAsia="en-US"/>
    </w:rPr>
  </w:style>
  <w:style w:type="paragraph" w:styleId="805">
    <w:name w:val="Heading 3"/>
    <w:basedOn w:val="802"/>
    <w:next w:val="802"/>
    <w:link w:val="841"/>
    <w:uiPriority w:val="9"/>
    <w:unhideWhenUsed/>
    <w:qFormat/>
    <w:pPr>
      <w:keepLines/>
      <w:keepNext/>
      <w:spacing w:before="200" w:line="276" w:lineRule="auto"/>
      <w:outlineLvl w:val="2"/>
    </w:pPr>
    <w:rPr>
      <w:rFonts w:asciiTheme="majorHAnsi" w:hAnsiTheme="majorHAnsi" w:eastAsiaTheme="majorEastAsia" w:cstheme="majorBidi"/>
      <w:b/>
      <w:bCs/>
      <w:color w:val="4F81BD" w:themeColor="accent1"/>
      <w:sz w:val="22"/>
      <w:szCs w:val="22"/>
      <w:lang w:eastAsia="en-US"/>
    </w:rPr>
  </w:style>
  <w:style w:type="paragraph" w:styleId="806">
    <w:name w:val="Heading 4"/>
    <w:basedOn w:val="802"/>
    <w:next w:val="815"/>
    <w:link w:val="842"/>
    <w:uiPriority w:val="9"/>
    <w:qFormat/>
    <w:pPr>
      <w:ind w:left="1702" w:hanging="851"/>
      <w:keepLines/>
      <w:keepNext/>
      <w:spacing w:before="240" w:after="120" w:line="360" w:lineRule="auto"/>
      <w:outlineLvl w:val="3"/>
    </w:pPr>
    <w:rPr>
      <w:rFonts w:ascii="Arial" w:hAnsi="Arial"/>
      <w:b/>
      <w:bCs/>
      <w:sz w:val="26"/>
      <w:szCs w:val="26"/>
      <w:lang w:eastAsia="en-US"/>
    </w:rPr>
  </w:style>
  <w:style w:type="paragraph" w:styleId="807">
    <w:name w:val="Heading 5"/>
    <w:basedOn w:val="802"/>
    <w:next w:val="802"/>
    <w:link w:val="843"/>
    <w:unhideWhenUsed/>
    <w:qFormat/>
    <w:pPr>
      <w:keepLines/>
      <w:keepNext/>
      <w:spacing w:before="200" w:line="276" w:lineRule="auto"/>
      <w:outlineLvl w:val="4"/>
    </w:pPr>
    <w:rPr>
      <w:rFonts w:asciiTheme="majorHAnsi" w:hAnsiTheme="majorHAnsi" w:eastAsiaTheme="majorEastAsia" w:cstheme="majorBidi"/>
      <w:color w:val="243F60" w:themeColor="accent1" w:themeShade="7F"/>
      <w:sz w:val="22"/>
      <w:szCs w:val="22"/>
      <w:lang w:eastAsia="en-US"/>
    </w:rPr>
  </w:style>
  <w:style w:type="paragraph" w:styleId="808">
    <w:name w:val="Heading 6"/>
    <w:basedOn w:val="802"/>
    <w:next w:val="802"/>
    <w:link w:val="844"/>
    <w:unhideWhenUsed/>
    <w:qFormat/>
    <w:pPr>
      <w:keepLines/>
      <w:keepNext/>
      <w:spacing w:before="200" w:line="276" w:lineRule="auto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809">
    <w:name w:val="Heading 7"/>
    <w:basedOn w:val="802"/>
    <w:next w:val="802"/>
    <w:link w:val="845"/>
    <w:unhideWhenUsed/>
    <w:qFormat/>
    <w:pPr>
      <w:keepLines/>
      <w:keepNext/>
      <w:spacing w:before="200" w:line="276" w:lineRule="auto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:sz w:val="22"/>
      <w:szCs w:val="22"/>
      <w:lang w:eastAsia="en-US"/>
    </w:rPr>
  </w:style>
  <w:style w:type="paragraph" w:styleId="810">
    <w:name w:val="Heading 8"/>
    <w:basedOn w:val="802"/>
    <w:next w:val="802"/>
    <w:link w:val="846"/>
    <w:qFormat/>
    <w:pPr>
      <w:ind w:left="5664" w:hanging="708"/>
      <w:jc w:val="both"/>
      <w:spacing w:before="240" w:after="60" w:line="360" w:lineRule="atLeast"/>
      <w:outlineLvl w:val="7"/>
    </w:pPr>
    <w:rPr>
      <w:rFonts w:ascii="Arial" w:hAnsi="Arial"/>
      <w:i/>
      <w:sz w:val="20"/>
      <w:szCs w:val="20"/>
      <w:lang w:eastAsia="en-US"/>
    </w:rPr>
  </w:style>
  <w:style w:type="paragraph" w:styleId="811">
    <w:name w:val="Heading 9"/>
    <w:basedOn w:val="802"/>
    <w:next w:val="802"/>
    <w:link w:val="847"/>
    <w:unhideWhenUsed/>
    <w:qFormat/>
    <w:pPr>
      <w:keepLines/>
      <w:keepNext/>
      <w:spacing w:before="200" w:line="276" w:lineRule="auto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eastAsia="en-US"/>
    </w:rPr>
  </w:style>
  <w:style w:type="character" w:styleId="812" w:default="1">
    <w:name w:val="Default Paragraph Font"/>
    <w:uiPriority w:val="1"/>
    <w:semiHidden/>
    <w:unhideWhenUsed/>
  </w:style>
  <w:style w:type="table" w:styleId="81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paragraph" w:styleId="815">
    <w:name w:val="Body Text"/>
    <w:basedOn w:val="802"/>
    <w:link w:val="816"/>
    <w:uiPriority w:val="1"/>
    <w:qFormat/>
    <w:pPr>
      <w:spacing w:after="120"/>
    </w:pPr>
    <w:rPr>
      <w:sz w:val="20"/>
      <w:szCs w:val="20"/>
    </w:rPr>
  </w:style>
  <w:style w:type="character" w:styleId="816" w:customStyle="1">
    <w:name w:val="Основной текст Знак"/>
    <w:basedOn w:val="812"/>
    <w:link w:val="815"/>
    <w:uiPriority w:val="1"/>
    <w:rPr>
      <w:rFonts w:ascii="Times New Roman" w:hAnsi="Times New Roman" w:cs="Times New Roman"/>
    </w:rPr>
  </w:style>
  <w:style w:type="paragraph" w:styleId="817">
    <w:name w:val="Body Text Indent 2"/>
    <w:basedOn w:val="802"/>
    <w:link w:val="818"/>
    <w:pPr>
      <w:ind w:left="283"/>
      <w:spacing w:after="120" w:line="480" w:lineRule="auto"/>
    </w:pPr>
    <w:rPr>
      <w:sz w:val="20"/>
      <w:szCs w:val="20"/>
    </w:rPr>
  </w:style>
  <w:style w:type="character" w:styleId="818" w:customStyle="1">
    <w:name w:val="Основной текст с отступом 2 Знак"/>
    <w:basedOn w:val="812"/>
    <w:link w:val="817"/>
    <w:rPr>
      <w:rFonts w:ascii="Times New Roman" w:hAnsi="Times New Roman" w:cs="Times New Roman"/>
    </w:rPr>
  </w:style>
  <w:style w:type="paragraph" w:styleId="819">
    <w:name w:val="Balloon Text"/>
    <w:basedOn w:val="802"/>
    <w:link w:val="820"/>
    <w:uiPriority w:val="99"/>
    <w:semiHidden/>
    <w:unhideWhenUsed/>
    <w:rPr>
      <w:rFonts w:ascii="Tahoma" w:hAnsi="Tahoma" w:cs="Tahoma"/>
      <w:sz w:val="16"/>
      <w:szCs w:val="16"/>
    </w:rPr>
  </w:style>
  <w:style w:type="character" w:styleId="820" w:customStyle="1">
    <w:name w:val="Текст выноски Знак"/>
    <w:basedOn w:val="812"/>
    <w:link w:val="819"/>
    <w:uiPriority w:val="99"/>
    <w:semiHidden/>
    <w:rPr>
      <w:rFonts w:ascii="Tahoma" w:hAnsi="Tahoma" w:cs="Tahoma"/>
      <w:sz w:val="16"/>
      <w:szCs w:val="16"/>
    </w:rPr>
  </w:style>
  <w:style w:type="paragraph" w:styleId="821" w:customStyle="1">
    <w:name w:val="ConsPlusNormal"/>
    <w:link w:val="838"/>
    <w:pPr>
      <w:jc w:val="both"/>
      <w:widowControl w:val="off"/>
    </w:pPr>
    <w:rPr>
      <w:rFonts w:ascii="Arial" w:hAnsi="Arial" w:cs="Arial"/>
    </w:rPr>
  </w:style>
  <w:style w:type="paragraph" w:styleId="822">
    <w:name w:val="List Paragraph"/>
    <w:basedOn w:val="802"/>
    <w:link w:val="851"/>
    <w:uiPriority w:val="34"/>
    <w:qFormat/>
    <w:pPr>
      <w:contextualSpacing/>
      <w:ind w:left="720"/>
    </w:pPr>
  </w:style>
  <w:style w:type="paragraph" w:styleId="823">
    <w:name w:val="Normal (Web)"/>
    <w:basedOn w:val="802"/>
    <w:link w:val="892"/>
    <w:uiPriority w:val="99"/>
    <w:unhideWhenUsed/>
    <w:qFormat/>
    <w:pPr>
      <w:spacing w:before="100" w:beforeAutospacing="1" w:after="100" w:afterAutospacing="1"/>
    </w:pPr>
  </w:style>
  <w:style w:type="paragraph" w:styleId="824" w:customStyle="1">
    <w:name w:val="paragraph"/>
    <w:basedOn w:val="802"/>
    <w:pPr>
      <w:spacing w:before="100" w:beforeAutospacing="1" w:after="100" w:afterAutospacing="1"/>
    </w:pPr>
  </w:style>
  <w:style w:type="character" w:styleId="825" w:customStyle="1">
    <w:name w:val="normaltextrun"/>
    <w:basedOn w:val="812"/>
  </w:style>
  <w:style w:type="character" w:styleId="826" w:customStyle="1">
    <w:name w:val="scxw111914594"/>
    <w:basedOn w:val="812"/>
  </w:style>
  <w:style w:type="character" w:styleId="827" w:customStyle="1">
    <w:name w:val="eop"/>
    <w:basedOn w:val="812"/>
  </w:style>
  <w:style w:type="character" w:styleId="828" w:customStyle="1">
    <w:name w:val="tabchar"/>
    <w:basedOn w:val="812"/>
  </w:style>
  <w:style w:type="character" w:styleId="829" w:customStyle="1">
    <w:name w:val="spellingerror"/>
    <w:basedOn w:val="812"/>
  </w:style>
  <w:style w:type="character" w:styleId="830" w:customStyle="1">
    <w:name w:val="Основной текст (2)_"/>
    <w:basedOn w:val="812"/>
    <w:link w:val="831"/>
    <w:rPr>
      <w:rFonts w:ascii="Times New Roman" w:hAnsi="Times New Roman" w:cs="Times New Roman"/>
      <w:b/>
      <w:bCs/>
      <w:sz w:val="25"/>
      <w:szCs w:val="25"/>
      <w:shd w:val="clear" w:color="auto" w:fill="ffffff"/>
    </w:rPr>
  </w:style>
  <w:style w:type="paragraph" w:styleId="831" w:customStyle="1">
    <w:name w:val="Основной текст (2)"/>
    <w:basedOn w:val="802"/>
    <w:link w:val="830"/>
    <w:pPr>
      <w:jc w:val="center"/>
      <w:spacing w:before="240" w:after="360" w:line="240" w:lineRule="atLeast"/>
      <w:shd w:val="clear" w:color="auto" w:fill="ffffff"/>
    </w:pPr>
    <w:rPr>
      <w:b/>
      <w:bCs/>
      <w:sz w:val="25"/>
      <w:szCs w:val="25"/>
    </w:rPr>
  </w:style>
  <w:style w:type="table" w:styleId="832">
    <w:name w:val="Table Grid"/>
    <w:basedOn w:val="813"/>
    <w:uiPriority w:val="59"/>
    <w:rPr>
      <w:rFonts w:ascii="Times New Roman" w:hAnsi="Times New Roman" w:cs="Times New Roman" w:eastAsia="Calibri"/>
      <w:sz w:val="22"/>
      <w:szCs w:val="22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33">
    <w:name w:val="Header"/>
    <w:basedOn w:val="802"/>
    <w:link w:val="83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34" w:customStyle="1">
    <w:name w:val="Верхний колонтитул Знак"/>
    <w:basedOn w:val="812"/>
    <w:link w:val="833"/>
    <w:uiPriority w:val="99"/>
    <w:rPr>
      <w:rFonts w:ascii="Times New Roman" w:hAnsi="Times New Roman" w:cs="Times New Roman"/>
      <w:sz w:val="24"/>
      <w:szCs w:val="24"/>
    </w:rPr>
  </w:style>
  <w:style w:type="paragraph" w:styleId="835">
    <w:name w:val="Footer"/>
    <w:basedOn w:val="802"/>
    <w:link w:val="83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36" w:customStyle="1">
    <w:name w:val="Нижний колонтитул Знак"/>
    <w:basedOn w:val="812"/>
    <w:link w:val="835"/>
    <w:uiPriority w:val="99"/>
    <w:rPr>
      <w:rFonts w:ascii="Times New Roman" w:hAnsi="Times New Roman" w:cs="Times New Roman"/>
      <w:sz w:val="24"/>
      <w:szCs w:val="24"/>
    </w:rPr>
  </w:style>
  <w:style w:type="paragraph" w:styleId="837" w:customStyle="1">
    <w:name w:val="docdata"/>
    <w:basedOn w:val="802"/>
    <w:pPr>
      <w:spacing w:before="100" w:beforeAutospacing="1" w:after="100" w:afterAutospacing="1"/>
    </w:pPr>
  </w:style>
  <w:style w:type="character" w:styleId="838" w:customStyle="1">
    <w:name w:val="ConsPlusNormal Знак"/>
    <w:link w:val="821"/>
    <w:rPr>
      <w:rFonts w:ascii="Arial" w:hAnsi="Arial" w:cs="Arial"/>
    </w:rPr>
  </w:style>
  <w:style w:type="character" w:styleId="839" w:customStyle="1">
    <w:name w:val="Заголовок 1 Знак"/>
    <w:basedOn w:val="812"/>
    <w:link w:val="803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840" w:customStyle="1">
    <w:name w:val="Заголовок 2 Знак"/>
    <w:basedOn w:val="812"/>
    <w:link w:val="80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eastAsia="en-US"/>
    </w:rPr>
  </w:style>
  <w:style w:type="character" w:styleId="841" w:customStyle="1">
    <w:name w:val="Заголовок 3 Знак"/>
    <w:basedOn w:val="812"/>
    <w:link w:val="805"/>
    <w:uiPriority w:val="9"/>
    <w:rPr>
      <w:rFonts w:asciiTheme="majorHAnsi" w:hAnsiTheme="majorHAnsi" w:eastAsiaTheme="majorEastAsia" w:cstheme="majorBidi"/>
      <w:b/>
      <w:bCs/>
      <w:color w:val="4F81BD" w:themeColor="accent1"/>
      <w:sz w:val="22"/>
      <w:szCs w:val="22"/>
      <w:lang w:eastAsia="en-US"/>
    </w:rPr>
  </w:style>
  <w:style w:type="character" w:styleId="842" w:customStyle="1">
    <w:name w:val="Заголовок 4 Знак"/>
    <w:basedOn w:val="812"/>
    <w:link w:val="806"/>
    <w:uiPriority w:val="9"/>
    <w:rPr>
      <w:rFonts w:ascii="Arial" w:hAnsi="Arial" w:cs="Times New Roman"/>
      <w:b/>
      <w:bCs/>
      <w:sz w:val="26"/>
      <w:szCs w:val="26"/>
      <w:lang w:eastAsia="en-US"/>
    </w:rPr>
  </w:style>
  <w:style w:type="character" w:styleId="843" w:customStyle="1">
    <w:name w:val="Заголовок 5 Знак"/>
    <w:basedOn w:val="812"/>
    <w:link w:val="807"/>
    <w:rPr>
      <w:rFonts w:asciiTheme="majorHAnsi" w:hAnsiTheme="majorHAnsi" w:eastAsiaTheme="majorEastAsia" w:cstheme="majorBidi"/>
      <w:color w:val="243F60" w:themeColor="accent1" w:themeShade="7F"/>
      <w:sz w:val="22"/>
      <w:szCs w:val="22"/>
      <w:lang w:eastAsia="en-US"/>
    </w:rPr>
  </w:style>
  <w:style w:type="character" w:styleId="844" w:customStyle="1">
    <w:name w:val="Заголовок 6 Знак"/>
    <w:basedOn w:val="812"/>
    <w:link w:val="808"/>
    <w:rPr>
      <w:rFonts w:asciiTheme="majorHAnsi" w:hAnsiTheme="majorHAnsi" w:eastAsiaTheme="majorEastAsia" w:cstheme="majorBidi"/>
      <w:i/>
      <w:iCs/>
      <w:color w:val="243F60" w:themeColor="accent1" w:themeShade="7F"/>
      <w:sz w:val="22"/>
      <w:szCs w:val="22"/>
      <w:lang w:eastAsia="en-US"/>
    </w:rPr>
  </w:style>
  <w:style w:type="character" w:styleId="845" w:customStyle="1">
    <w:name w:val="Заголовок 7 Знак"/>
    <w:basedOn w:val="812"/>
    <w:link w:val="809"/>
    <w:rPr>
      <w:rFonts w:asciiTheme="majorHAnsi" w:hAnsiTheme="majorHAnsi" w:eastAsiaTheme="majorEastAsia" w:cstheme="majorBidi"/>
      <w:i/>
      <w:iCs/>
      <w:color w:val="404040" w:themeColor="text1" w:themeTint="BF"/>
      <w:sz w:val="22"/>
      <w:szCs w:val="22"/>
      <w:lang w:eastAsia="en-US"/>
    </w:rPr>
  </w:style>
  <w:style w:type="character" w:styleId="846" w:customStyle="1">
    <w:name w:val="Заголовок 8 Знак"/>
    <w:basedOn w:val="812"/>
    <w:link w:val="810"/>
    <w:rPr>
      <w:rFonts w:ascii="Arial" w:hAnsi="Arial" w:cs="Times New Roman"/>
      <w:i/>
      <w:lang w:eastAsia="en-US"/>
    </w:rPr>
  </w:style>
  <w:style w:type="character" w:styleId="847" w:customStyle="1">
    <w:name w:val="Заголовок 9 Знак"/>
    <w:basedOn w:val="812"/>
    <w:link w:val="811"/>
    <w:rPr>
      <w:rFonts w:asciiTheme="majorHAnsi" w:hAnsiTheme="majorHAnsi" w:eastAsiaTheme="majorEastAsia" w:cstheme="majorBidi"/>
      <w:i/>
      <w:iCs/>
      <w:color w:val="404040" w:themeColor="text1" w:themeTint="BF"/>
      <w:lang w:eastAsia="en-US"/>
    </w:rPr>
  </w:style>
  <w:style w:type="paragraph" w:styleId="848">
    <w:name w:val="TOC Heading"/>
    <w:basedOn w:val="803"/>
    <w:next w:val="802"/>
    <w:uiPriority w:val="39"/>
    <w:unhideWhenUsed/>
    <w:qFormat/>
    <w:pPr>
      <w:outlineLvl w:val="9"/>
    </w:pPr>
    <w:rPr>
      <w:lang w:eastAsia="ru-RU"/>
    </w:rPr>
  </w:style>
  <w:style w:type="character" w:styleId="849">
    <w:name w:val="Hyperlink"/>
    <w:basedOn w:val="812"/>
    <w:uiPriority w:val="99"/>
    <w:unhideWhenUsed/>
    <w:rPr>
      <w:color w:val="0000FF"/>
      <w:u w:val="single"/>
    </w:rPr>
  </w:style>
  <w:style w:type="character" w:styleId="850" w:customStyle="1">
    <w:name w:val="apple-style-span"/>
    <w:basedOn w:val="812"/>
  </w:style>
  <w:style w:type="character" w:styleId="851" w:customStyle="1">
    <w:name w:val="Абзац списка Знак"/>
    <w:link w:val="822"/>
    <w:uiPriority w:val="34"/>
    <w:rPr>
      <w:rFonts w:ascii="Times New Roman" w:hAnsi="Times New Roman" w:cs="Times New Roman"/>
      <w:sz w:val="24"/>
      <w:szCs w:val="24"/>
    </w:rPr>
  </w:style>
  <w:style w:type="table" w:styleId="852" w:customStyle="1">
    <w:name w:val="Сетка таблицы2"/>
    <w:basedOn w:val="813"/>
    <w:next w:val="832"/>
    <w:uiPriority w:val="59"/>
    <w:rPr>
      <w:rFonts w:cs="Times New Roman" w:eastAsia="Calibr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numbering" w:styleId="853" w:customStyle="1">
    <w:name w:val="Нет списка1"/>
    <w:next w:val="814"/>
    <w:uiPriority w:val="99"/>
    <w:semiHidden/>
    <w:unhideWhenUsed/>
  </w:style>
  <w:style w:type="table" w:styleId="854" w:customStyle="1">
    <w:name w:val="Сетка таблицы1"/>
    <w:basedOn w:val="813"/>
    <w:next w:val="832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55" w:customStyle="1">
    <w:name w:val="Default"/>
    <w:uiPriority w:val="99"/>
    <w:qFormat/>
    <w:rPr>
      <w:rFonts w:ascii="Times New Roman" w:hAnsi="Times New Roman" w:cs="Times New Roman" w:eastAsiaTheme="minorHAnsi"/>
      <w:color w:val="000000"/>
      <w:sz w:val="24"/>
      <w:szCs w:val="24"/>
      <w:lang w:eastAsia="en-US"/>
    </w:rPr>
  </w:style>
  <w:style w:type="paragraph" w:styleId="856">
    <w:name w:val="Caption"/>
    <w:basedOn w:val="802"/>
    <w:next w:val="802"/>
    <w:link w:val="977"/>
    <w:uiPriority w:val="35"/>
    <w:unhideWhenUsed/>
    <w:qFormat/>
    <w:pPr>
      <w:spacing w:after="200"/>
    </w:pPr>
    <w:rPr>
      <w:rFonts w:asciiTheme="minorHAnsi" w:hAnsiTheme="minorHAnsi" w:eastAsiaTheme="minorHAnsi" w:cstheme="minorBidi"/>
      <w:b/>
      <w:bCs/>
      <w:color w:val="4F81BD" w:themeColor="accent1"/>
      <w:sz w:val="18"/>
      <w:szCs w:val="18"/>
      <w:lang w:eastAsia="en-US"/>
    </w:rPr>
  </w:style>
  <w:style w:type="numbering" w:styleId="857" w:customStyle="1">
    <w:name w:val="Нет списка11"/>
    <w:next w:val="814"/>
    <w:uiPriority w:val="99"/>
    <w:semiHidden/>
    <w:unhideWhenUsed/>
  </w:style>
  <w:style w:type="table" w:styleId="858" w:customStyle="1">
    <w:name w:val="Сетка таблицы11"/>
    <w:basedOn w:val="813"/>
    <w:next w:val="832"/>
    <w:uiPriority w:val="59"/>
    <w:rPr>
      <w:rFonts w:cs="Times New Roman" w:eastAsia="Calibr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numbering" w:styleId="859" w:customStyle="1">
    <w:name w:val="Нет списка2"/>
    <w:next w:val="814"/>
    <w:uiPriority w:val="99"/>
    <w:semiHidden/>
    <w:unhideWhenUsed/>
  </w:style>
  <w:style w:type="table" w:styleId="860" w:customStyle="1">
    <w:name w:val="Сетка таблицы3"/>
    <w:basedOn w:val="813"/>
    <w:next w:val="832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numbering" w:styleId="861" w:customStyle="1">
    <w:name w:val="Нет списка111"/>
    <w:next w:val="814"/>
    <w:uiPriority w:val="99"/>
    <w:semiHidden/>
    <w:unhideWhenUsed/>
  </w:style>
  <w:style w:type="table" w:styleId="862" w:customStyle="1">
    <w:name w:val="Сетка таблицы21"/>
    <w:basedOn w:val="813"/>
    <w:next w:val="832"/>
    <w:uiPriority w:val="59"/>
    <w:rPr>
      <w:rFonts w:cs="Times New Roman" w:eastAsia="Calibr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63">
    <w:name w:val="toc 1"/>
    <w:basedOn w:val="802"/>
    <w:next w:val="802"/>
    <w:uiPriority w:val="39"/>
    <w:unhideWhenUsed/>
    <w:qFormat/>
    <w:pPr>
      <w:spacing w:after="100" w:line="276" w:lineRule="auto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864">
    <w:name w:val="toc 2"/>
    <w:basedOn w:val="802"/>
    <w:next w:val="802"/>
    <w:link w:val="1025"/>
    <w:uiPriority w:val="39"/>
    <w:unhideWhenUsed/>
    <w:qFormat/>
    <w:pPr>
      <w:ind w:left="220"/>
      <w:spacing w:after="100" w:line="276" w:lineRule="auto"/>
    </w:pPr>
    <w:rPr>
      <w:rFonts w:asciiTheme="minorHAnsi" w:hAnsiTheme="minorHAnsi" w:eastAsiaTheme="minorEastAsia" w:cstheme="minorBidi"/>
      <w:sz w:val="22"/>
      <w:szCs w:val="22"/>
    </w:rPr>
  </w:style>
  <w:style w:type="paragraph" w:styleId="865">
    <w:name w:val="toc 3"/>
    <w:basedOn w:val="802"/>
    <w:next w:val="802"/>
    <w:uiPriority w:val="39"/>
    <w:unhideWhenUsed/>
    <w:qFormat/>
    <w:pPr>
      <w:ind w:left="440"/>
      <w:spacing w:after="100" w:line="276" w:lineRule="auto"/>
    </w:pPr>
    <w:rPr>
      <w:rFonts w:asciiTheme="minorHAnsi" w:hAnsiTheme="minorHAnsi" w:eastAsiaTheme="minorEastAsia" w:cstheme="minorBidi"/>
      <w:sz w:val="22"/>
      <w:szCs w:val="22"/>
    </w:rPr>
  </w:style>
  <w:style w:type="paragraph" w:styleId="866">
    <w:name w:val="No Spacing"/>
    <w:uiPriority w:val="1"/>
    <w:qFormat/>
    <w:rPr>
      <w:rFonts w:cs="Times New Roman" w:eastAsia="Calibri"/>
      <w:sz w:val="22"/>
      <w:szCs w:val="22"/>
      <w:lang w:eastAsia="en-US"/>
    </w:rPr>
  </w:style>
  <w:style w:type="paragraph" w:styleId="867" w:customStyle="1">
    <w:name w:val="Стандарт!!!"/>
    <w:basedOn w:val="802"/>
    <w:link w:val="868"/>
    <w:qFormat/>
    <w:pPr>
      <w:spacing w:after="200" w:line="276" w:lineRule="auto"/>
    </w:pPr>
    <w:rPr>
      <w:rFonts w:eastAsiaTheme="minorHAnsi"/>
      <w:lang w:eastAsia="en-US"/>
    </w:rPr>
  </w:style>
  <w:style w:type="character" w:styleId="868" w:customStyle="1">
    <w:name w:val="Стандарт!!! Знак"/>
    <w:basedOn w:val="812"/>
    <w:link w:val="867"/>
    <w:rPr>
      <w:rFonts w:ascii="Times New Roman" w:hAnsi="Times New Roman" w:cs="Times New Roman" w:eastAsiaTheme="minorHAnsi"/>
      <w:sz w:val="24"/>
      <w:szCs w:val="24"/>
      <w:lang w:eastAsia="en-US"/>
    </w:rPr>
  </w:style>
  <w:style w:type="paragraph" w:styleId="869" w:customStyle="1">
    <w:name w:val="ЗБС"/>
    <w:basedOn w:val="802"/>
    <w:link w:val="870"/>
    <w:qFormat/>
    <w:pPr>
      <w:ind w:firstLine="709"/>
      <w:spacing w:line="276" w:lineRule="auto"/>
    </w:pPr>
    <w:rPr>
      <w:rFonts w:eastAsiaTheme="minorHAnsi"/>
      <w:lang w:eastAsia="en-US"/>
    </w:rPr>
  </w:style>
  <w:style w:type="character" w:styleId="870" w:customStyle="1">
    <w:name w:val="ЗБС Знак"/>
    <w:basedOn w:val="812"/>
    <w:link w:val="869"/>
    <w:rPr>
      <w:rFonts w:ascii="Times New Roman" w:hAnsi="Times New Roman" w:cs="Times New Roman" w:eastAsiaTheme="minorHAnsi"/>
      <w:sz w:val="24"/>
      <w:szCs w:val="24"/>
      <w:lang w:eastAsia="en-US"/>
    </w:rPr>
  </w:style>
  <w:style w:type="character" w:styleId="871">
    <w:name w:val="FollowedHyperlink"/>
    <w:basedOn w:val="812"/>
    <w:uiPriority w:val="99"/>
    <w:unhideWhenUsed/>
    <w:rPr>
      <w:color w:val="800080"/>
      <w:u w:val="single"/>
    </w:rPr>
  </w:style>
  <w:style w:type="paragraph" w:styleId="872" w:customStyle="1">
    <w:name w:val="xl67"/>
    <w:basedOn w:val="802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873" w:customStyle="1">
    <w:name w:val="xl68"/>
    <w:basedOn w:val="802"/>
    <w:pPr>
      <w:spacing w:before="100" w:beforeAutospacing="1" w:after="100" w:afterAutospacing="1"/>
    </w:pPr>
    <w:rPr>
      <w:rFonts w:ascii="Arial CYR" w:hAnsi="Arial CYR" w:cs="Arial CYR"/>
    </w:rPr>
  </w:style>
  <w:style w:type="paragraph" w:styleId="874" w:customStyle="1">
    <w:name w:val="xl69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</w:rPr>
  </w:style>
  <w:style w:type="paragraph" w:styleId="875" w:customStyle="1">
    <w:name w:val="xl70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</w:rPr>
  </w:style>
  <w:style w:type="paragraph" w:styleId="876" w:customStyle="1">
    <w:name w:val="xl71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</w:rPr>
  </w:style>
  <w:style w:type="table" w:styleId="877" w:customStyle="1">
    <w:name w:val="Сетка таблицы4"/>
    <w:basedOn w:val="813"/>
    <w:next w:val="832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78">
    <w:name w:val="toc 8"/>
    <w:basedOn w:val="802"/>
    <w:next w:val="802"/>
    <w:uiPriority w:val="39"/>
    <w:unhideWhenUsed/>
    <w:pPr>
      <w:ind w:left="1540"/>
      <w:spacing w:after="100" w:line="276" w:lineRule="auto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879" w:customStyle="1">
    <w:name w:val="Table Paragraph"/>
    <w:basedOn w:val="802"/>
    <w:uiPriority w:val="99"/>
    <w:qFormat/>
    <w:pPr>
      <w:widowControl w:val="off"/>
    </w:pPr>
    <w:rPr>
      <w:rFonts w:ascii="Calibri" w:hAnsi="Calibri" w:eastAsia="Calibri"/>
      <w:sz w:val="22"/>
      <w:szCs w:val="22"/>
      <w:lang w:val="en-US" w:eastAsia="en-US"/>
    </w:rPr>
  </w:style>
  <w:style w:type="paragraph" w:styleId="880" w:customStyle="1">
    <w:name w:val="xl24"/>
    <w:basedOn w:val="802"/>
    <w:pPr>
      <w:jc w:val="center"/>
      <w:spacing w:before="100" w:beforeAutospacing="1" w:after="100" w:afterAutospacing="1"/>
    </w:pPr>
  </w:style>
  <w:style w:type="character" w:styleId="881">
    <w:name w:val="Placeholder Text"/>
    <w:basedOn w:val="812"/>
    <w:uiPriority w:val="99"/>
    <w:semiHidden/>
    <w:rPr>
      <w:color w:val="808080"/>
    </w:rPr>
  </w:style>
  <w:style w:type="paragraph" w:styleId="882">
    <w:name w:val="toc 4"/>
    <w:basedOn w:val="802"/>
    <w:next w:val="802"/>
    <w:uiPriority w:val="39"/>
    <w:unhideWhenUsed/>
    <w:pPr>
      <w:ind w:left="660"/>
      <w:spacing w:after="100" w:line="276" w:lineRule="auto"/>
    </w:pPr>
    <w:rPr>
      <w:rFonts w:asciiTheme="minorHAnsi" w:hAnsiTheme="minorHAnsi" w:eastAsiaTheme="minorEastAsia" w:cstheme="minorBidi"/>
      <w:sz w:val="22"/>
      <w:szCs w:val="22"/>
    </w:rPr>
  </w:style>
  <w:style w:type="paragraph" w:styleId="883">
    <w:name w:val="toc 5"/>
    <w:basedOn w:val="802"/>
    <w:next w:val="802"/>
    <w:uiPriority w:val="39"/>
    <w:unhideWhenUsed/>
    <w:pPr>
      <w:ind w:left="880"/>
      <w:spacing w:after="100" w:line="276" w:lineRule="auto"/>
    </w:pPr>
    <w:rPr>
      <w:rFonts w:asciiTheme="minorHAnsi" w:hAnsiTheme="minorHAnsi" w:eastAsiaTheme="minorEastAsia" w:cstheme="minorBidi"/>
      <w:sz w:val="22"/>
      <w:szCs w:val="22"/>
    </w:rPr>
  </w:style>
  <w:style w:type="paragraph" w:styleId="884">
    <w:name w:val="toc 6"/>
    <w:basedOn w:val="802"/>
    <w:next w:val="802"/>
    <w:uiPriority w:val="39"/>
    <w:unhideWhenUsed/>
    <w:pPr>
      <w:ind w:left="1100"/>
      <w:spacing w:after="100" w:line="276" w:lineRule="auto"/>
    </w:pPr>
    <w:rPr>
      <w:rFonts w:asciiTheme="minorHAnsi" w:hAnsiTheme="minorHAnsi" w:eastAsiaTheme="minorEastAsia" w:cstheme="minorBidi"/>
      <w:sz w:val="22"/>
      <w:szCs w:val="22"/>
    </w:rPr>
  </w:style>
  <w:style w:type="paragraph" w:styleId="885">
    <w:name w:val="toc 7"/>
    <w:basedOn w:val="802"/>
    <w:next w:val="802"/>
    <w:uiPriority w:val="39"/>
    <w:unhideWhenUsed/>
    <w:pPr>
      <w:ind w:left="1320"/>
      <w:spacing w:after="100" w:line="276" w:lineRule="auto"/>
    </w:pPr>
    <w:rPr>
      <w:rFonts w:asciiTheme="minorHAnsi" w:hAnsiTheme="minorHAnsi" w:eastAsiaTheme="minorEastAsia" w:cstheme="minorBidi"/>
      <w:sz w:val="22"/>
      <w:szCs w:val="22"/>
    </w:rPr>
  </w:style>
  <w:style w:type="paragraph" w:styleId="886">
    <w:name w:val="toc 9"/>
    <w:basedOn w:val="802"/>
    <w:next w:val="802"/>
    <w:uiPriority w:val="39"/>
    <w:unhideWhenUsed/>
    <w:pPr>
      <w:ind w:left="1760"/>
      <w:spacing w:after="100" w:line="276" w:lineRule="auto"/>
    </w:pPr>
    <w:rPr>
      <w:rFonts w:asciiTheme="minorHAnsi" w:hAnsiTheme="minorHAnsi" w:eastAsiaTheme="minorEastAsia" w:cstheme="minorBidi"/>
      <w:sz w:val="22"/>
      <w:szCs w:val="22"/>
    </w:rPr>
  </w:style>
  <w:style w:type="character" w:styleId="887">
    <w:name w:val="annotation reference"/>
    <w:basedOn w:val="812"/>
    <w:uiPriority w:val="99"/>
    <w:semiHidden/>
    <w:unhideWhenUsed/>
    <w:rPr>
      <w:sz w:val="16"/>
      <w:szCs w:val="16"/>
    </w:rPr>
  </w:style>
  <w:style w:type="paragraph" w:styleId="888">
    <w:name w:val="annotation text"/>
    <w:basedOn w:val="802"/>
    <w:link w:val="889"/>
    <w:uiPriority w:val="99"/>
    <w:semiHidden/>
    <w:unhideWhenUsed/>
    <w:pPr>
      <w:spacing w:after="200"/>
    </w:pPr>
    <w:rPr>
      <w:rFonts w:asciiTheme="minorHAnsi" w:hAnsiTheme="minorHAnsi" w:eastAsiaTheme="minorHAnsi" w:cstheme="minorBidi"/>
      <w:sz w:val="20"/>
      <w:szCs w:val="20"/>
      <w:lang w:eastAsia="en-US"/>
    </w:rPr>
  </w:style>
  <w:style w:type="character" w:styleId="889" w:customStyle="1">
    <w:name w:val="Текст примечания Знак"/>
    <w:basedOn w:val="812"/>
    <w:link w:val="888"/>
    <w:uiPriority w:val="99"/>
    <w:semiHidden/>
    <w:rPr>
      <w:rFonts w:asciiTheme="minorHAnsi" w:hAnsiTheme="minorHAnsi" w:eastAsiaTheme="minorHAnsi" w:cstheme="minorBidi"/>
      <w:lang w:eastAsia="en-US"/>
    </w:rPr>
  </w:style>
  <w:style w:type="paragraph" w:styleId="890">
    <w:name w:val="annotation subject"/>
    <w:basedOn w:val="888"/>
    <w:next w:val="888"/>
    <w:link w:val="891"/>
    <w:uiPriority w:val="99"/>
    <w:semiHidden/>
    <w:unhideWhenUsed/>
    <w:rPr>
      <w:b/>
      <w:bCs/>
    </w:rPr>
  </w:style>
  <w:style w:type="character" w:styleId="891" w:customStyle="1">
    <w:name w:val="Тема примечания Знак"/>
    <w:basedOn w:val="889"/>
    <w:link w:val="890"/>
    <w:uiPriority w:val="99"/>
    <w:semiHidden/>
    <w:rPr>
      <w:b/>
      <w:bCs/>
    </w:rPr>
  </w:style>
  <w:style w:type="character" w:styleId="892" w:customStyle="1">
    <w:name w:val="Обычный (веб) Знак"/>
    <w:link w:val="823"/>
    <w:uiPriority w:val="99"/>
    <w:rPr>
      <w:rFonts w:ascii="Times New Roman" w:hAnsi="Times New Roman" w:cs="Times New Roman"/>
      <w:sz w:val="24"/>
      <w:szCs w:val="24"/>
    </w:rPr>
  </w:style>
  <w:style w:type="paragraph" w:styleId="893">
    <w:name w:val="Body Text First Indent"/>
    <w:basedOn w:val="815"/>
    <w:link w:val="894"/>
    <w:uiPriority w:val="99"/>
    <w:semiHidden/>
    <w:unhideWhenUsed/>
    <w:pPr>
      <w:ind w:firstLine="360"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894" w:customStyle="1">
    <w:name w:val="Красная строка Знак"/>
    <w:basedOn w:val="816"/>
    <w:link w:val="893"/>
    <w:uiPriority w:val="99"/>
    <w:semiHidden/>
    <w:rPr>
      <w:rFonts w:asciiTheme="minorHAnsi" w:hAnsiTheme="minorHAnsi" w:eastAsiaTheme="minorHAnsi" w:cstheme="minorBidi"/>
      <w:sz w:val="22"/>
      <w:szCs w:val="22"/>
      <w:lang w:eastAsia="en-US"/>
    </w:rPr>
  </w:style>
  <w:style w:type="table" w:styleId="895" w:customStyle="1">
    <w:name w:val="Сетка таблицы5"/>
    <w:basedOn w:val="813"/>
    <w:next w:val="832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896" w:customStyle="1">
    <w:name w:val="Основной текст (2) + 18 pt"/>
    <w:rPr>
      <w:rFonts w:ascii="Times New Roman" w:hAnsi="Times New Roman" w:cs="Times New Roman" w:eastAsia="Times New Roman"/>
      <w:b w:val="0"/>
      <w:bCs w:val="0"/>
      <w:i w:val="0"/>
      <w:iCs w:val="0"/>
      <w:smallCaps w:val="0"/>
      <w:strike w:val="false"/>
      <w:color w:val="000000"/>
      <w:spacing w:val="0"/>
      <w:position w:val="0"/>
      <w:sz w:val="36"/>
      <w:szCs w:val="36"/>
      <w:u w:val="none"/>
      <w:shd w:val="clear" w:color="auto" w:fill="ffffff"/>
      <w:lang w:val="ru-RU" w:bidi="ru-RU" w:eastAsia="ru-RU"/>
    </w:rPr>
  </w:style>
  <w:style w:type="character" w:styleId="897" w:customStyle="1">
    <w:name w:val="Основной текст (2) + 19 pt"/>
    <w:rPr>
      <w:rFonts w:ascii="Times New Roman" w:hAnsi="Times New Roman" w:cs="Times New Roman" w:eastAsia="Times New Roman" w:hint="default"/>
      <w:b w:val="0"/>
      <w:bCs w:val="0"/>
      <w:i w:val="0"/>
      <w:iCs w:val="0"/>
      <w:smallCaps w:val="0"/>
      <w:strike w:val="false"/>
      <w:color w:val="000000"/>
      <w:spacing w:val="0"/>
      <w:position w:val="0"/>
      <w:sz w:val="38"/>
      <w:szCs w:val="38"/>
      <w:u w:val="none"/>
      <w:shd w:val="clear" w:color="auto" w:fill="ffffff"/>
      <w:lang w:val="ru-RU" w:bidi="ru-RU" w:eastAsia="ru-RU"/>
    </w:rPr>
  </w:style>
  <w:style w:type="character" w:styleId="898" w:customStyle="1">
    <w:name w:val="Основной текст (15)_"/>
    <w:link w:val="899"/>
    <w:uiPriority w:val="99"/>
    <w:rPr>
      <w:sz w:val="10"/>
      <w:szCs w:val="10"/>
      <w:shd w:val="clear" w:color="auto" w:fill="ffffff"/>
    </w:rPr>
  </w:style>
  <w:style w:type="paragraph" w:styleId="899" w:customStyle="1">
    <w:name w:val="Основной текст (15)"/>
    <w:basedOn w:val="802"/>
    <w:link w:val="898"/>
    <w:uiPriority w:val="99"/>
    <w:pPr>
      <w:spacing w:line="240" w:lineRule="atLeast"/>
      <w:shd w:val="clear" w:color="auto" w:fill="ffffff"/>
    </w:pPr>
    <w:rPr>
      <w:rFonts w:ascii="Calibri" w:hAnsi="Calibri" w:cs="Calibri"/>
      <w:sz w:val="10"/>
      <w:szCs w:val="10"/>
      <w:shd w:val="clear" w:color="auto" w:fill="ffffff"/>
    </w:rPr>
  </w:style>
  <w:style w:type="character" w:styleId="900" w:customStyle="1">
    <w:name w:val="Оглавление + 13 pt"/>
    <w:uiPriority w:val="9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901" w:customStyle="1">
    <w:name w:val="font5"/>
    <w:basedOn w:val="802"/>
    <w:pPr>
      <w:spacing w:before="100" w:beforeAutospacing="1" w:after="100" w:afterAutospacing="1"/>
    </w:pPr>
    <w:rPr>
      <w:color w:val="000000"/>
      <w:sz w:val="22"/>
      <w:szCs w:val="22"/>
    </w:rPr>
  </w:style>
  <w:style w:type="paragraph" w:styleId="902" w:customStyle="1">
    <w:name w:val="font6"/>
    <w:basedOn w:val="802"/>
    <w:pPr>
      <w:spacing w:before="100" w:beforeAutospacing="1" w:after="100" w:afterAutospacing="1"/>
    </w:pPr>
    <w:rPr>
      <w:b/>
      <w:bCs/>
      <w:color w:val="000000"/>
      <w:sz w:val="22"/>
      <w:szCs w:val="22"/>
    </w:rPr>
  </w:style>
  <w:style w:type="paragraph" w:styleId="903" w:customStyle="1">
    <w:name w:val="xl72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b/>
      <w:bCs/>
      <w:color w:val="000000"/>
    </w:rPr>
  </w:style>
  <w:style w:type="paragraph" w:styleId="904" w:customStyle="1">
    <w:name w:val="xl73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05" w:customStyle="1">
    <w:name w:val="xl74"/>
    <w:basedOn w:val="802"/>
    <w:pPr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06" w:customStyle="1">
    <w:name w:val="xl75"/>
    <w:basedOn w:val="80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07" w:customStyle="1">
    <w:name w:val="xl76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08" w:customStyle="1">
    <w:name w:val="xl77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909" w:customStyle="1">
    <w:name w:val="xl78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910" w:customStyle="1">
    <w:name w:val="xl79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11" w:customStyle="1">
    <w:name w:val="xl80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12" w:customStyle="1">
    <w:name w:val="xl81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13" w:customStyle="1">
    <w:name w:val="xl82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914" w:customStyle="1">
    <w:name w:val="xl83"/>
    <w:basedOn w:val="80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15" w:customStyle="1">
    <w:name w:val="xl84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16" w:customStyle="1">
    <w:name w:val="xl85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17" w:customStyle="1">
    <w:name w:val="xl86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18" w:customStyle="1">
    <w:name w:val="xl87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19" w:customStyle="1">
    <w:name w:val="xl88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20" w:customStyle="1">
    <w:name w:val="xl89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21" w:customStyle="1">
    <w:name w:val="xl90"/>
    <w:basedOn w:val="802"/>
    <w:pPr>
      <w:jc w:val="right"/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22" w:customStyle="1">
    <w:name w:val="xl91"/>
    <w:basedOn w:val="802"/>
    <w:pPr>
      <w:jc w:val="center"/>
      <w:spacing w:before="100" w:beforeAutospacing="1" w:after="100" w:afterAutospacing="1"/>
      <w:shd w:val="clear" w:color="000000" w:fill="ffffff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23" w:customStyle="1">
    <w:name w:val="xl92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24" w:customStyle="1">
    <w:name w:val="xl93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25" w:customStyle="1">
    <w:name w:val="xl94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26" w:customStyle="1">
    <w:name w:val="xl95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27" w:customStyle="1">
    <w:name w:val="xl96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28" w:customStyle="1">
    <w:name w:val="xl97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929" w:customStyle="1">
    <w:name w:val="xl98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30" w:customStyle="1">
    <w:name w:val="xl99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931" w:customStyle="1">
    <w:name w:val="xl100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32" w:customStyle="1">
    <w:name w:val="xl101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33" w:customStyle="1">
    <w:name w:val="xl102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34" w:customStyle="1">
    <w:name w:val="xl103"/>
    <w:basedOn w:val="802"/>
    <w:pPr>
      <w:jc w:val="right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935" w:customStyle="1">
    <w:name w:val="xl104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36" w:customStyle="1">
    <w:name w:val="xl105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937" w:customStyle="1">
    <w:name w:val="xl106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38" w:customStyle="1">
    <w:name w:val="xl107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39" w:customStyle="1">
    <w:name w:val="xl108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40" w:customStyle="1">
    <w:name w:val="xl109"/>
    <w:basedOn w:val="80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41" w:customStyle="1">
    <w:name w:val="xl110"/>
    <w:basedOn w:val="802"/>
    <w:pPr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42" w:customStyle="1">
    <w:name w:val="xl111"/>
    <w:basedOn w:val="802"/>
    <w:pPr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2"/>
      <w:szCs w:val="22"/>
    </w:rPr>
  </w:style>
  <w:style w:type="paragraph" w:styleId="943" w:customStyle="1">
    <w:name w:val="xl112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944" w:customStyle="1">
    <w:name w:val="xl113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sz w:val="22"/>
      <w:szCs w:val="22"/>
    </w:rPr>
  </w:style>
  <w:style w:type="paragraph" w:styleId="945" w:customStyle="1">
    <w:name w:val="xl114"/>
    <w:basedOn w:val="80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46" w:customStyle="1">
    <w:name w:val="xl115"/>
    <w:basedOn w:val="80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47" w:customStyle="1">
    <w:name w:val="xl116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</w:style>
  <w:style w:type="paragraph" w:styleId="948" w:customStyle="1">
    <w:name w:val="xl117"/>
    <w:basedOn w:val="80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49" w:customStyle="1">
    <w:name w:val="xl118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b/>
      <w:bCs/>
      <w:color w:val="000000"/>
      <w:sz w:val="22"/>
      <w:szCs w:val="22"/>
    </w:rPr>
  </w:style>
  <w:style w:type="paragraph" w:styleId="950" w:customStyle="1">
    <w:name w:val="xl119"/>
    <w:basedOn w:val="802"/>
    <w:pPr>
      <w:jc w:val="right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</w:style>
  <w:style w:type="paragraph" w:styleId="951" w:customStyle="1">
    <w:name w:val="xl120"/>
    <w:basedOn w:val="802"/>
    <w:pPr>
      <w:jc w:val="right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52" w:customStyle="1">
    <w:name w:val="xl121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53" w:customStyle="1">
    <w:name w:val="xl122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</w:style>
  <w:style w:type="paragraph" w:styleId="954" w:customStyle="1">
    <w:name w:val="xl123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right w:val="single" w:color="auto" w:sz="4" w:space="0"/>
      </w:pBdr>
    </w:pPr>
    <w:rPr>
      <w:color w:val="000000"/>
      <w:sz w:val="22"/>
      <w:szCs w:val="22"/>
    </w:rPr>
  </w:style>
  <w:style w:type="paragraph" w:styleId="955" w:customStyle="1">
    <w:name w:val="xl124"/>
    <w:basedOn w:val="802"/>
    <w:pPr>
      <w:jc w:val="center"/>
      <w:spacing w:before="100" w:beforeAutospacing="1" w:after="100" w:afterAutospacing="1"/>
      <w:pBdr>
        <w:bottom w:val="single" w:color="auto" w:sz="4" w:space="0"/>
      </w:pBdr>
    </w:pPr>
    <w:rPr>
      <w:b/>
      <w:bCs/>
    </w:rPr>
  </w:style>
  <w:style w:type="character" w:styleId="956" w:customStyle="1">
    <w:name w:val="fontstyle01"/>
    <w:basedOn w:val="81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styleId="957" w:customStyle="1">
    <w:name w:val="Основной текст (2) + 4 pt"/>
    <w:rPr>
      <w:rFonts w:ascii="Times New Roman" w:hAnsi="Times New Roman" w:cs="Times New Roman" w:eastAsia="Times New Roman"/>
      <w:b w:val="0"/>
      <w:bCs w:val="0"/>
      <w:i w:val="0"/>
      <w:iCs w:val="0"/>
      <w:smallCaps w:val="0"/>
      <w:strike w:val="false"/>
      <w:color w:val="000000"/>
      <w:spacing w:val="0"/>
      <w:position w:val="0"/>
      <w:sz w:val="8"/>
      <w:szCs w:val="8"/>
      <w:u w:val="none"/>
      <w:shd w:val="clear" w:color="auto" w:fill="ffffff"/>
      <w:lang w:val="ru-RU" w:bidi="ru-RU" w:eastAsia="ru-RU"/>
    </w:rPr>
  </w:style>
  <w:style w:type="character" w:styleId="958" w:customStyle="1">
    <w:name w:val="Основной текст (2) + 20 pt"/>
    <w:basedOn w:val="812"/>
    <w:rPr>
      <w:rFonts w:ascii="Times New Roman" w:hAnsi="Times New Roman" w:cs="Times New Roman" w:eastAsia="Times New Roman"/>
      <w:b w:val="0"/>
      <w:bCs w:val="0"/>
      <w:i w:val="0"/>
      <w:iCs w:val="0"/>
      <w:smallCaps w:val="0"/>
      <w:strike w:val="false"/>
      <w:color w:val="000000"/>
      <w:spacing w:val="0"/>
      <w:position w:val="0"/>
      <w:sz w:val="40"/>
      <w:szCs w:val="40"/>
      <w:u w:val="none"/>
      <w:lang w:val="ru-RU" w:bidi="ru-RU" w:eastAsia="ru-RU"/>
    </w:rPr>
  </w:style>
  <w:style w:type="character" w:styleId="959" w:customStyle="1">
    <w:name w:val="Основной текст (2) + 5;5 pt"/>
    <w:basedOn w:val="812"/>
    <w:rPr>
      <w:rFonts w:ascii="Times New Roman" w:hAnsi="Times New Roman" w:cs="Times New Roman" w:eastAsia="Times New Roman"/>
      <w:b w:val="0"/>
      <w:bCs w:val="0"/>
      <w:i w:val="0"/>
      <w:iCs w:val="0"/>
      <w:smallCaps w:val="0"/>
      <w:strike w:val="false"/>
      <w:color w:val="000000"/>
      <w:spacing w:val="0"/>
      <w:position w:val="0"/>
      <w:sz w:val="11"/>
      <w:szCs w:val="11"/>
      <w:u w:val="none"/>
      <w:lang w:val="ru-RU" w:bidi="ru-RU" w:eastAsia="ru-RU"/>
    </w:rPr>
  </w:style>
  <w:style w:type="character" w:styleId="960" w:customStyle="1">
    <w:name w:val="Основной текст (2) + 19 pt3"/>
    <w:uiPriority w:val="99"/>
    <w:rPr>
      <w:rFonts w:ascii="Times New Roman" w:hAnsi="Times New Roman" w:cs="Times New Roman"/>
      <w:color w:val="000000"/>
      <w:spacing w:val="0"/>
      <w:position w:val="0"/>
      <w:sz w:val="38"/>
      <w:szCs w:val="38"/>
      <w:u w:val="none"/>
      <w:lang w:val="ru-RU" w:eastAsia="ru-RU"/>
    </w:rPr>
  </w:style>
  <w:style w:type="character" w:styleId="961" w:customStyle="1">
    <w:name w:val="Основной текст (6) Exact"/>
    <w:basedOn w:val="812"/>
    <w:link w:val="962"/>
    <w:uiPriority w:val="99"/>
    <w:rPr>
      <w:rFonts w:eastAsia="Calibri"/>
      <w:sz w:val="40"/>
      <w:szCs w:val="40"/>
      <w:shd w:val="clear" w:color="auto" w:fill="ffffff"/>
    </w:rPr>
  </w:style>
  <w:style w:type="paragraph" w:styleId="962" w:customStyle="1">
    <w:name w:val="Основной текст (6)"/>
    <w:basedOn w:val="802"/>
    <w:link w:val="961"/>
    <w:uiPriority w:val="99"/>
    <w:pPr>
      <w:ind w:hanging="380"/>
      <w:jc w:val="both"/>
      <w:spacing w:line="720" w:lineRule="exact"/>
      <w:shd w:val="clear" w:color="auto" w:fill="ffffff"/>
      <w:widowControl w:val="off"/>
    </w:pPr>
    <w:rPr>
      <w:rFonts w:ascii="Calibri" w:hAnsi="Calibri" w:cs="Calibri" w:eastAsia="Calibri"/>
      <w:sz w:val="40"/>
      <w:szCs w:val="40"/>
    </w:rPr>
  </w:style>
  <w:style w:type="character" w:styleId="963" w:customStyle="1">
    <w:name w:val="Основной текст (8)"/>
    <w:basedOn w:val="812"/>
    <w:rPr>
      <w:rFonts w:ascii="Microsoft Sans Serif" w:hAnsi="Microsoft Sans Serif" w:cs="Microsoft Sans Serif" w:eastAsia="Microsoft Sans Serif"/>
      <w:b w:val="0"/>
      <w:bCs w:val="0"/>
      <w:i w:val="0"/>
      <w:iCs w:val="0"/>
      <w:smallCaps w:val="0"/>
      <w:strike w:val="false"/>
      <w:color w:val="000000"/>
      <w:spacing w:val="0"/>
      <w:position w:val="0"/>
      <w:sz w:val="40"/>
      <w:szCs w:val="40"/>
      <w:u w:val="none"/>
      <w:lang w:val="en-US" w:bidi="en-US" w:eastAsia="en-US"/>
    </w:rPr>
  </w:style>
  <w:style w:type="character" w:styleId="964" w:customStyle="1">
    <w:name w:val="Заголовок №2 + Arial Unicode MS;22 pt;Не полужирный;Курсив"/>
    <w:basedOn w:val="812"/>
    <w:rPr>
      <w:rFonts w:ascii="Arial Unicode MS" w:hAnsi="Arial Unicode MS" w:cs="Arial Unicode MS" w:eastAsia="Arial Unicode MS"/>
      <w:b/>
      <w:bCs/>
      <w:i/>
      <w:iCs/>
      <w:smallCaps w:val="0"/>
      <w:strike w:val="false"/>
      <w:color w:val="000000"/>
      <w:spacing w:val="0"/>
      <w:position w:val="0"/>
      <w:sz w:val="44"/>
      <w:szCs w:val="44"/>
      <w:u w:val="none"/>
      <w:lang w:val="ru-RU" w:bidi="ru-RU" w:eastAsia="ru-RU"/>
    </w:rPr>
  </w:style>
  <w:style w:type="character" w:styleId="965" w:customStyle="1">
    <w:name w:val="Колонтитул + 20 pt;Интервал 0 pt"/>
    <w:basedOn w:val="812"/>
    <w:rPr>
      <w:rFonts w:ascii="Times New Roman" w:hAnsi="Times New Roman" w:cs="Times New Roman" w:eastAsia="Times New Roman"/>
      <w:b/>
      <w:bCs/>
      <w:i w:val="0"/>
      <w:iCs w:val="0"/>
      <w:smallCaps w:val="0"/>
      <w:strike w:val="false"/>
      <w:color w:val="000000"/>
      <w:spacing w:val="-10"/>
      <w:position w:val="0"/>
      <w:sz w:val="40"/>
      <w:szCs w:val="40"/>
      <w:u w:val="none"/>
      <w:lang w:val="ru-RU" w:bidi="ru-RU" w:eastAsia="ru-RU"/>
    </w:rPr>
  </w:style>
  <w:style w:type="character" w:styleId="966" w:customStyle="1">
    <w:name w:val="Основной текст (2) + Arial;22 pt;Интервал 0 pt"/>
    <w:basedOn w:val="830"/>
    <w:rPr>
      <w:rFonts w:ascii="Arial" w:hAnsi="Arial" w:cs="Arial" w:eastAsia="Arial"/>
      <w:b w:val="0"/>
      <w:bCs w:val="0"/>
      <w:i w:val="0"/>
      <w:iCs w:val="0"/>
      <w:smallCaps w:val="0"/>
      <w:strike w:val="false"/>
      <w:color w:val="000000"/>
      <w:spacing w:val="-10"/>
      <w:position w:val="0"/>
      <w:sz w:val="44"/>
      <w:szCs w:val="44"/>
      <w:u w:val="none"/>
      <w:lang w:val="ru-RU" w:bidi="ru-RU" w:eastAsia="ru-RU"/>
    </w:rPr>
  </w:style>
  <w:style w:type="character" w:styleId="967" w:customStyle="1">
    <w:name w:val="Основной текст (2) + 14 pt;Полужирный;Малые прописные"/>
    <w:basedOn w:val="830"/>
    <w:rPr>
      <w:rFonts w:eastAsia="Times New Roman"/>
      <w:i w:val="0"/>
      <w:iCs w:val="0"/>
      <w:smallCaps/>
      <w:strike w:val="false"/>
      <w:color w:val="000000"/>
      <w:spacing w:val="0"/>
      <w:position w:val="0"/>
      <w:sz w:val="28"/>
      <w:szCs w:val="28"/>
      <w:u w:val="none"/>
      <w:lang w:val="en-US" w:bidi="en-US" w:eastAsia="en-US"/>
    </w:rPr>
  </w:style>
  <w:style w:type="character" w:styleId="968" w:customStyle="1">
    <w:name w:val="Основной текст (2) + Georgia;17 pt;Полужирный"/>
    <w:basedOn w:val="830"/>
    <w:rPr>
      <w:rFonts w:ascii="Georgia" w:hAnsi="Georgia" w:cs="Georgia" w:eastAsia="Georgia"/>
      <w:i w:val="0"/>
      <w:iCs w:val="0"/>
      <w:smallCaps w:val="0"/>
      <w:strike w:val="false"/>
      <w:color w:val="000000"/>
      <w:spacing w:val="0"/>
      <w:position w:val="0"/>
      <w:sz w:val="34"/>
      <w:szCs w:val="34"/>
      <w:u w:val="none"/>
      <w:lang w:val="ru-RU" w:bidi="ru-RU" w:eastAsia="ru-RU"/>
    </w:rPr>
  </w:style>
  <w:style w:type="character" w:styleId="969" w:customStyle="1">
    <w:name w:val="Заголовок №1 + Курсив"/>
    <w:basedOn w:val="812"/>
    <w:rPr>
      <w:rFonts w:ascii="Times New Roman" w:hAnsi="Times New Roman" w:cs="Times New Roman" w:eastAsia="Times New Roman"/>
      <w:b/>
      <w:bCs/>
      <w:i/>
      <w:iCs/>
      <w:color w:val="000000"/>
      <w:spacing w:val="0"/>
      <w:position w:val="0"/>
      <w:sz w:val="48"/>
      <w:szCs w:val="48"/>
      <w:shd w:val="clear" w:color="auto" w:fill="ffffff"/>
      <w:lang w:val="ru-RU" w:bidi="ru-RU" w:eastAsia="ru-RU"/>
    </w:rPr>
  </w:style>
  <w:style w:type="character" w:styleId="970" w:customStyle="1">
    <w:name w:val="Основной текст (16)"/>
    <w:basedOn w:val="812"/>
    <w:uiPriority w:val="99"/>
    <w:rPr>
      <w:rFonts w:ascii="Times New Roman" w:hAnsi="Times New Roman" w:cs="Times New Roman" w:eastAsia="Times New Roman"/>
      <w:b/>
      <w:bCs/>
      <w:i w:val="0"/>
      <w:iCs w:val="0"/>
      <w:smallCaps w:val="0"/>
      <w:strike w:val="false"/>
      <w:color w:val="000000"/>
      <w:spacing w:val="0"/>
      <w:position w:val="0"/>
      <w:sz w:val="44"/>
      <w:szCs w:val="44"/>
      <w:u w:val="none"/>
      <w:lang w:val="en-US" w:bidi="en-US" w:eastAsia="en-US"/>
    </w:rPr>
  </w:style>
  <w:style w:type="paragraph" w:styleId="971" w:customStyle="1">
    <w:name w:val="ФИЛИАЛ"/>
    <w:basedOn w:val="802"/>
    <w:link w:val="972"/>
    <w:pPr>
      <w:jc w:val="center"/>
      <w:spacing w:line="360" w:lineRule="auto"/>
    </w:pPr>
    <w:rPr>
      <w:rFonts w:ascii="Arial" w:hAnsi="Arial"/>
      <w:caps/>
      <w:szCs w:val="22"/>
      <w:lang w:eastAsia="en-US"/>
    </w:rPr>
  </w:style>
  <w:style w:type="character" w:styleId="972" w:customStyle="1">
    <w:name w:val="ФИЛИАЛ Знак"/>
    <w:link w:val="971"/>
    <w:rPr>
      <w:rFonts w:ascii="Arial" w:hAnsi="Arial" w:cs="Times New Roman"/>
      <w:caps/>
      <w:sz w:val="24"/>
      <w:szCs w:val="22"/>
      <w:lang w:eastAsia="en-US"/>
    </w:rPr>
  </w:style>
  <w:style w:type="paragraph" w:styleId="973" w:customStyle="1">
    <w:name w:val="Заголовок"/>
    <w:basedOn w:val="803"/>
    <w:next w:val="815"/>
    <w:link w:val="974"/>
    <w:pPr>
      <w:jc w:val="center"/>
      <w:keepLines w:val="0"/>
      <w:pageBreakBefore/>
      <w:spacing w:before="120" w:after="120" w:line="360" w:lineRule="auto"/>
    </w:pPr>
    <w:rPr>
      <w:rFonts w:ascii="Arial" w:hAnsi="Arial" w:cs="Times New Roman" w:eastAsia="Times New Roman"/>
      <w:caps/>
      <w:color w:val="auto"/>
      <w:szCs w:val="32"/>
    </w:rPr>
  </w:style>
  <w:style w:type="character" w:styleId="974" w:customStyle="1">
    <w:name w:val="Заголовок Знак"/>
    <w:link w:val="973"/>
    <w:rPr>
      <w:rFonts w:ascii="Arial" w:hAnsi="Arial" w:cs="Times New Roman"/>
      <w:b/>
      <w:bCs/>
      <w:caps/>
      <w:sz w:val="28"/>
      <w:szCs w:val="32"/>
      <w:lang w:eastAsia="en-US"/>
    </w:rPr>
  </w:style>
  <w:style w:type="paragraph" w:styleId="975" w:customStyle="1">
    <w:name w:val="Название_страницы"/>
    <w:basedOn w:val="802"/>
    <w:link w:val="976"/>
    <w:pPr>
      <w:jc w:val="center"/>
      <w:spacing w:before="240" w:after="120" w:line="360" w:lineRule="auto"/>
    </w:pPr>
    <w:rPr>
      <w:rFonts w:ascii="Arial" w:hAnsi="Arial"/>
      <w:b/>
      <w:caps/>
      <w:sz w:val="28"/>
      <w:szCs w:val="28"/>
      <w:lang w:eastAsia="en-US"/>
    </w:rPr>
  </w:style>
  <w:style w:type="character" w:styleId="976" w:customStyle="1">
    <w:name w:val="Название_страницы Знак"/>
    <w:link w:val="975"/>
    <w:rPr>
      <w:rFonts w:ascii="Arial" w:hAnsi="Arial" w:cs="Times New Roman"/>
      <w:b/>
      <w:caps/>
      <w:sz w:val="28"/>
      <w:szCs w:val="28"/>
      <w:lang w:eastAsia="en-US"/>
    </w:rPr>
  </w:style>
  <w:style w:type="character" w:styleId="977" w:customStyle="1">
    <w:name w:val="Название объекта Знак"/>
    <w:link w:val="856"/>
    <w:uiPriority w:val="35"/>
    <w:rPr>
      <w:rFonts w:asciiTheme="minorHAnsi" w:hAnsiTheme="minorHAnsi" w:eastAsia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978" w:customStyle="1">
    <w:name w:val="2 Глава раздела"/>
    <w:basedOn w:val="804"/>
    <w:link w:val="979"/>
    <w:pPr>
      <w:ind w:left="567"/>
      <w:keepLines w:val="0"/>
      <w:spacing w:before="0" w:line="240" w:lineRule="auto"/>
    </w:pPr>
    <w:rPr>
      <w:rFonts w:ascii="Arial" w:hAnsi="Arial" w:cs="Times New Roman" w:eastAsia="Times New Roman"/>
      <w:iCs/>
      <w:color w:val="auto"/>
      <w:sz w:val="28"/>
      <w:szCs w:val="28"/>
    </w:rPr>
  </w:style>
  <w:style w:type="character" w:styleId="979" w:customStyle="1">
    <w:name w:val="2 Глава раздела Знак"/>
    <w:link w:val="978"/>
    <w:rPr>
      <w:rFonts w:ascii="Arial" w:hAnsi="Arial" w:cs="Times New Roman"/>
      <w:b/>
      <w:bCs/>
      <w:iCs/>
      <w:sz w:val="28"/>
      <w:szCs w:val="28"/>
      <w:lang w:eastAsia="en-US"/>
    </w:rPr>
  </w:style>
  <w:style w:type="paragraph" w:styleId="980" w:customStyle="1">
    <w:name w:val="Табличный_таблица_11"/>
    <w:link w:val="981"/>
    <w:qFormat/>
    <w:pPr>
      <w:jc w:val="center"/>
    </w:pPr>
    <w:rPr>
      <w:rFonts w:ascii="Times New Roman" w:hAnsi="Times New Roman" w:cs="Times New Roman"/>
      <w:sz w:val="22"/>
      <w:szCs w:val="22"/>
    </w:rPr>
  </w:style>
  <w:style w:type="character" w:styleId="981" w:customStyle="1">
    <w:name w:val="Табличный_таблица_11 Знак"/>
    <w:link w:val="980"/>
    <w:rPr>
      <w:rFonts w:ascii="Times New Roman" w:hAnsi="Times New Roman" w:cs="Times New Roman"/>
      <w:sz w:val="22"/>
      <w:szCs w:val="22"/>
    </w:rPr>
  </w:style>
  <w:style w:type="character" w:styleId="982">
    <w:name w:val="page number"/>
    <w:basedOn w:val="812"/>
  </w:style>
  <w:style w:type="paragraph" w:styleId="983" w:customStyle="1">
    <w:name w:val="xl20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84" w:customStyle="1">
    <w:name w:val="xl21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paragraph" w:styleId="985" w:customStyle="1">
    <w:name w:val="xl22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b/>
      <w:bCs/>
    </w:rPr>
  </w:style>
  <w:style w:type="paragraph" w:styleId="986" w:customStyle="1">
    <w:name w:val="xl23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b/>
      <w:bCs/>
    </w:rPr>
  </w:style>
  <w:style w:type="paragraph" w:styleId="987" w:customStyle="1">
    <w:name w:val="xl25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b/>
      <w:bCs/>
    </w:rPr>
  </w:style>
  <w:style w:type="paragraph" w:styleId="988" w:customStyle="1">
    <w:name w:val="xl26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 Unicode MS" w:hAnsi="Arial Unicode MS"/>
    </w:rPr>
  </w:style>
  <w:style w:type="paragraph" w:styleId="989" w:customStyle="1">
    <w:name w:val="xl27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b/>
      <w:bCs/>
    </w:rPr>
  </w:style>
  <w:style w:type="paragraph" w:styleId="990" w:customStyle="1">
    <w:name w:val="xl28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 Unicode MS" w:hAnsi="Arial Unicode MS"/>
      <w:b/>
      <w:bCs/>
      <w:sz w:val="16"/>
      <w:szCs w:val="16"/>
    </w:rPr>
  </w:style>
  <w:style w:type="paragraph" w:styleId="991" w:customStyle="1">
    <w:name w:val="xl29"/>
    <w:basedOn w:val="80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992" w:customStyle="1">
    <w:name w:val="xl30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rFonts w:ascii="Arial" w:hAnsi="Arial" w:cs="Arial"/>
      <w:sz w:val="16"/>
      <w:szCs w:val="16"/>
    </w:rPr>
  </w:style>
  <w:style w:type="paragraph" w:styleId="993" w:customStyle="1">
    <w:name w:val="xl31"/>
    <w:basedOn w:val="80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</w:pBdr>
    </w:pPr>
    <w:rPr>
      <w:rFonts w:ascii="Arial" w:hAnsi="Arial" w:cs="Arial"/>
      <w:sz w:val="16"/>
      <w:szCs w:val="16"/>
    </w:rPr>
  </w:style>
  <w:style w:type="paragraph" w:styleId="994" w:customStyle="1">
    <w:name w:val="xl32"/>
    <w:basedOn w:val="80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995" w:customStyle="1">
    <w:name w:val="xl33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996" w:customStyle="1">
    <w:name w:val="xl34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997" w:customStyle="1">
    <w:name w:val="xl35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998" w:customStyle="1">
    <w:name w:val="xl36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999" w:customStyle="1">
    <w:name w:val="xl37"/>
    <w:basedOn w:val="80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</w:pBdr>
    </w:pPr>
    <w:rPr>
      <w:rFonts w:ascii="Arial" w:hAnsi="Arial" w:cs="Arial"/>
      <w:sz w:val="16"/>
      <w:szCs w:val="16"/>
    </w:rPr>
  </w:style>
  <w:style w:type="paragraph" w:styleId="1000" w:customStyle="1">
    <w:name w:val="xl38"/>
    <w:basedOn w:val="80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1001" w:customStyle="1">
    <w:name w:val="xl39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1002" w:customStyle="1">
    <w:name w:val="xl40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1003" w:customStyle="1">
    <w:name w:val="xl41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1004" w:customStyle="1">
    <w:name w:val="xl42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b/>
      <w:bCs/>
      <w:sz w:val="16"/>
      <w:szCs w:val="16"/>
    </w:rPr>
  </w:style>
  <w:style w:type="paragraph" w:styleId="1005" w:customStyle="1">
    <w:name w:val="xl43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b/>
      <w:bCs/>
      <w:sz w:val="16"/>
      <w:szCs w:val="16"/>
    </w:rPr>
  </w:style>
  <w:style w:type="paragraph" w:styleId="1006" w:customStyle="1">
    <w:name w:val="xl44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b/>
      <w:bCs/>
      <w:sz w:val="16"/>
      <w:szCs w:val="16"/>
    </w:rPr>
  </w:style>
  <w:style w:type="paragraph" w:styleId="1007" w:customStyle="1">
    <w:name w:val="xl45"/>
    <w:basedOn w:val="802"/>
    <w:pPr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b/>
      <w:bCs/>
      <w:sz w:val="16"/>
      <w:szCs w:val="16"/>
    </w:rPr>
  </w:style>
  <w:style w:type="paragraph" w:styleId="1008" w:customStyle="1">
    <w:name w:val="xl46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b/>
      <w:bCs/>
      <w:sz w:val="16"/>
      <w:szCs w:val="16"/>
    </w:rPr>
  </w:style>
  <w:style w:type="paragraph" w:styleId="1009" w:customStyle="1">
    <w:name w:val="xl47"/>
    <w:basedOn w:val="80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1010" w:customStyle="1">
    <w:name w:val="xl48"/>
    <w:basedOn w:val="802"/>
    <w:pPr>
      <w:jc w:val="center"/>
      <w:spacing w:before="100" w:beforeAutospacing="1" w:after="100" w:afterAutospacing="1"/>
      <w:pBdr>
        <w:left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1011" w:customStyle="1">
    <w:name w:val="xl49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rFonts w:ascii="Arial" w:hAnsi="Arial" w:cs="Arial"/>
      <w:sz w:val="16"/>
      <w:szCs w:val="16"/>
    </w:rPr>
  </w:style>
  <w:style w:type="paragraph" w:styleId="1012" w:customStyle="1">
    <w:name w:val="xl50"/>
    <w:basedOn w:val="80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</w:pBdr>
    </w:pPr>
    <w:rPr>
      <w:rFonts w:ascii="Arial" w:hAnsi="Arial" w:cs="Arial"/>
      <w:sz w:val="16"/>
      <w:szCs w:val="16"/>
    </w:rPr>
  </w:style>
  <w:style w:type="paragraph" w:styleId="1013" w:customStyle="1">
    <w:name w:val="xl51"/>
    <w:basedOn w:val="80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1014" w:customStyle="1">
    <w:name w:val="xl52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</w:pBdr>
    </w:pPr>
    <w:rPr>
      <w:rFonts w:ascii="Arial" w:hAnsi="Arial" w:cs="Arial"/>
      <w:sz w:val="16"/>
      <w:szCs w:val="16"/>
    </w:rPr>
  </w:style>
  <w:style w:type="paragraph" w:styleId="1015" w:customStyle="1">
    <w:name w:val="xl53"/>
    <w:basedOn w:val="80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</w:pBdr>
    </w:pPr>
    <w:rPr>
      <w:rFonts w:ascii="Arial" w:hAnsi="Arial" w:cs="Arial"/>
      <w:sz w:val="16"/>
      <w:szCs w:val="16"/>
    </w:rPr>
  </w:style>
  <w:style w:type="paragraph" w:styleId="1016" w:customStyle="1">
    <w:name w:val="xl54"/>
    <w:basedOn w:val="802"/>
    <w:pPr>
      <w:jc w:val="center"/>
      <w:spacing w:before="100" w:beforeAutospacing="1" w:after="100" w:afterAutospacing="1"/>
      <w:pBdr>
        <w:top w:val="single" w:color="auto" w:sz="4" w:space="0"/>
        <w:bottom w:val="single" w:color="auto" w:sz="4" w:space="0"/>
        <w:right w:val="single" w:color="auto" w:sz="4" w:space="0"/>
      </w:pBdr>
    </w:pPr>
    <w:rPr>
      <w:rFonts w:ascii="Arial" w:hAnsi="Arial" w:cs="Arial"/>
      <w:sz w:val="16"/>
      <w:szCs w:val="16"/>
    </w:rPr>
  </w:style>
  <w:style w:type="paragraph" w:styleId="1017">
    <w:name w:val="Intense Quote"/>
    <w:basedOn w:val="802"/>
    <w:next w:val="802"/>
    <w:link w:val="1018"/>
    <w:uiPriority w:val="30"/>
    <w:qFormat/>
    <w:pPr>
      <w:ind w:left="936" w:right="936"/>
      <w:spacing w:before="200" w:after="280" w:line="276" w:lineRule="auto"/>
      <w:pBdr>
        <w:bottom w:val="single" w:color="4F81BD" w:sz="4" w:space="4"/>
      </w:pBdr>
    </w:pPr>
    <w:rPr>
      <w:rFonts w:ascii="Calibri" w:hAnsi="Calibri" w:eastAsia="Calibri"/>
      <w:b/>
      <w:bCs/>
      <w:i/>
      <w:iCs/>
      <w:color w:val="4F81BD"/>
      <w:sz w:val="22"/>
      <w:szCs w:val="22"/>
      <w:lang w:eastAsia="en-US"/>
    </w:rPr>
  </w:style>
  <w:style w:type="character" w:styleId="1018" w:customStyle="1">
    <w:name w:val="Выделенная цитата Знак"/>
    <w:basedOn w:val="812"/>
    <w:link w:val="1017"/>
    <w:uiPriority w:val="30"/>
    <w:rPr>
      <w:rFonts w:cs="Times New Roman" w:eastAsia="Calibri"/>
      <w:b/>
      <w:bCs/>
      <w:i/>
      <w:iCs/>
      <w:color w:val="4F81BD"/>
      <w:sz w:val="22"/>
      <w:szCs w:val="22"/>
      <w:lang w:eastAsia="en-US"/>
    </w:rPr>
  </w:style>
  <w:style w:type="paragraph" w:styleId="1019" w:customStyle="1">
    <w:name w:val="Заголовок ДЖ"/>
    <w:basedOn w:val="802"/>
    <w:link w:val="1020"/>
    <w:qFormat/>
    <w:pPr>
      <w:numPr>
        <w:numId w:val="21"/>
      </w:numPr>
      <w:ind w:right="403"/>
      <w:jc w:val="both"/>
      <w:spacing w:after="120" w:line="288" w:lineRule="auto"/>
      <w:shd w:val="clear" w:color="auto" w:fill="ffffff"/>
      <w:widowControl w:val="off"/>
    </w:pPr>
    <w:rPr>
      <w:b/>
      <w:bCs/>
      <w:lang w:eastAsia="en-US"/>
    </w:rPr>
  </w:style>
  <w:style w:type="character" w:styleId="1020" w:customStyle="1">
    <w:name w:val="Заголовок ДЖ Знак"/>
    <w:link w:val="1019"/>
    <w:rPr>
      <w:rFonts w:ascii="Times New Roman" w:hAnsi="Times New Roman" w:cs="Times New Roman"/>
      <w:b/>
      <w:bCs/>
      <w:sz w:val="24"/>
      <w:szCs w:val="24"/>
      <w:shd w:val="clear" w:color="auto" w:fill="ffffff"/>
      <w:lang w:eastAsia="en-US"/>
    </w:rPr>
  </w:style>
  <w:style w:type="character" w:styleId="1021" w:customStyle="1">
    <w:name w:val="Заголовок №1_"/>
    <w:link w:val="1120"/>
    <w:uiPriority w:val="99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styleId="1022" w:customStyle="1">
    <w:name w:val="Заголовок №1"/>
    <w:uiPriority w:val="99"/>
    <w:rPr>
      <w:rFonts w:ascii="Times New Roman" w:hAnsi="Times New Roman" w:cs="Times New Roman"/>
      <w:b/>
      <w:bCs/>
      <w:color w:val="000000"/>
      <w:spacing w:val="0"/>
      <w:position w:val="0"/>
      <w:sz w:val="26"/>
      <w:szCs w:val="26"/>
      <w:u w:val="none"/>
      <w:lang w:val="ru-RU" w:eastAsia="ru-RU"/>
    </w:rPr>
  </w:style>
  <w:style w:type="character" w:styleId="1023" w:customStyle="1">
    <w:name w:val="Колонтитул_"/>
    <w:link w:val="1121"/>
    <w:uiPriority w:val="99"/>
    <w:rPr>
      <w:rFonts w:ascii="Times New Roman" w:hAnsi="Times New Roman"/>
      <w:b/>
      <w:bCs/>
      <w:shd w:val="clear" w:color="auto" w:fill="ffffff"/>
    </w:rPr>
  </w:style>
  <w:style w:type="character" w:styleId="1024" w:customStyle="1">
    <w:name w:val="Колонтитул"/>
    <w:uiPriority w:val="99"/>
    <w:rPr>
      <w:rFonts w:ascii="Times New Roman" w:hAnsi="Times New Roman" w:cs="Times New Roman"/>
      <w:b/>
      <w:bCs/>
      <w:color w:val="000000"/>
      <w:spacing w:val="0"/>
      <w:position w:val="0"/>
      <w:sz w:val="20"/>
      <w:szCs w:val="20"/>
      <w:u w:val="none"/>
      <w:lang w:val="ru-RU" w:eastAsia="ru-RU"/>
    </w:rPr>
  </w:style>
  <w:style w:type="character" w:styleId="1025" w:customStyle="1">
    <w:name w:val="Оглавление 2 Знак"/>
    <w:link w:val="864"/>
    <w:uiPriority w:val="39"/>
    <w:rPr>
      <w:rFonts w:asciiTheme="minorHAnsi" w:hAnsiTheme="minorHAnsi" w:eastAsiaTheme="minorEastAsia" w:cstheme="minorBidi"/>
      <w:sz w:val="22"/>
      <w:szCs w:val="22"/>
    </w:rPr>
  </w:style>
  <w:style w:type="character" w:styleId="1026" w:customStyle="1">
    <w:name w:val="Основной текст_"/>
    <w:link w:val="1122"/>
    <w:rPr>
      <w:rFonts w:ascii="Times New Roman" w:hAnsi="Times New Roman"/>
      <w:shd w:val="clear" w:color="auto" w:fill="ffffff"/>
    </w:rPr>
  </w:style>
  <w:style w:type="character" w:styleId="1027" w:customStyle="1">
    <w:name w:val="Подпись к картинке_"/>
    <w:link w:val="1123"/>
    <w:uiPriority w:val="99"/>
    <w:rPr>
      <w:rFonts w:ascii="Times New Roman" w:hAnsi="Times New Roman"/>
      <w:shd w:val="clear" w:color="auto" w:fill="ffffff"/>
    </w:rPr>
  </w:style>
  <w:style w:type="character" w:styleId="1028" w:customStyle="1">
    <w:name w:val="Заголовок №2_"/>
    <w:link w:val="1124"/>
    <w:uiPriority w:val="99"/>
    <w:rPr>
      <w:rFonts w:ascii="Times New Roman" w:hAnsi="Times New Roman"/>
      <w:b/>
      <w:bCs/>
      <w:shd w:val="clear" w:color="auto" w:fill="ffffff"/>
    </w:rPr>
  </w:style>
  <w:style w:type="character" w:styleId="1029" w:customStyle="1">
    <w:name w:val="Основной текст (3)_"/>
    <w:link w:val="1125"/>
    <w:uiPriority w:val="99"/>
    <w:rPr>
      <w:rFonts w:ascii="Times New Roman" w:hAnsi="Times New Roman"/>
      <w:b/>
      <w:bCs/>
      <w:shd w:val="clear" w:color="auto" w:fill="ffffff"/>
    </w:rPr>
  </w:style>
  <w:style w:type="character" w:styleId="1030" w:customStyle="1">
    <w:name w:val="Основной текст + 8"/>
    <w:uiPriority w:val="99"/>
    <w:rPr>
      <w:rFonts w:ascii="Times New Roman" w:hAnsi="Times New Roman" w:cs="Times New Roman"/>
      <w:b/>
      <w:bCs/>
      <w:color w:val="000000"/>
      <w:spacing w:val="0"/>
      <w:position w:val="0"/>
      <w:sz w:val="17"/>
      <w:szCs w:val="17"/>
      <w:u w:val="none"/>
      <w:lang w:val="ru-RU" w:eastAsia="ru-RU"/>
    </w:rPr>
  </w:style>
  <w:style w:type="character" w:styleId="1031" w:customStyle="1">
    <w:name w:val="Подпись к таблице_"/>
    <w:link w:val="1126"/>
    <w:uiPriority w:val="99"/>
    <w:rPr>
      <w:rFonts w:ascii="Times New Roman" w:hAnsi="Times New Roman"/>
      <w:b/>
      <w:bCs/>
      <w:shd w:val="clear" w:color="auto" w:fill="ffffff"/>
    </w:rPr>
  </w:style>
  <w:style w:type="character" w:styleId="1032" w:customStyle="1">
    <w:name w:val="Подпись к картинке (2) Exact"/>
    <w:link w:val="1127"/>
    <w:uiPriority w:val="99"/>
    <w:rPr>
      <w:b/>
      <w:bCs/>
      <w:spacing w:val="2"/>
      <w:sz w:val="21"/>
      <w:szCs w:val="21"/>
      <w:shd w:val="clear" w:color="auto" w:fill="ffffff"/>
    </w:rPr>
  </w:style>
  <w:style w:type="character" w:styleId="1033" w:customStyle="1">
    <w:name w:val="Основной текст (4) Exact"/>
    <w:link w:val="1128"/>
    <w:uiPriority w:val="99"/>
    <w:rPr>
      <w:rFonts w:ascii="Franklin Gothic Heavy" w:hAnsi="Franklin Gothic Heavy" w:cs="Franklin Gothic Heavy"/>
      <w:spacing w:val="-4"/>
      <w:sz w:val="10"/>
      <w:szCs w:val="10"/>
      <w:shd w:val="clear" w:color="auto" w:fill="ffffff"/>
      <w:lang w:val="en-US"/>
    </w:rPr>
  </w:style>
  <w:style w:type="character" w:styleId="1034" w:customStyle="1">
    <w:name w:val="Основной текст (4) Exact1"/>
    <w:uiPriority w:val="99"/>
    <w:rPr>
      <w:rFonts w:ascii="Franklin Gothic Heavy" w:hAnsi="Franklin Gothic Heavy" w:cs="Franklin Gothic Heavy"/>
      <w:color w:val="000000"/>
      <w:spacing w:val="-4"/>
      <w:position w:val="0"/>
      <w:sz w:val="10"/>
      <w:szCs w:val="10"/>
      <w:u w:val="none"/>
      <w:lang w:val="en-US" w:eastAsia="en-US"/>
    </w:rPr>
  </w:style>
  <w:style w:type="character" w:styleId="1035" w:customStyle="1">
    <w:name w:val="Основной текст (4) + Calibri"/>
    <w:uiPriority w:val="99"/>
    <w:rPr>
      <w:rFonts w:ascii="Calibri" w:hAnsi="Calibri" w:cs="Calibri"/>
      <w:color w:val="000000"/>
      <w:spacing w:val="0"/>
      <w:position w:val="0"/>
      <w:sz w:val="11"/>
      <w:szCs w:val="11"/>
      <w:u w:val="none"/>
      <w:lang w:val="ru-RU" w:eastAsia="ru-RU"/>
    </w:rPr>
  </w:style>
  <w:style w:type="character" w:styleId="1036" w:customStyle="1">
    <w:name w:val="Основной текст (4) + Microsoft Sans Serif"/>
    <w:uiPriority w:val="99"/>
    <w:rPr>
      <w:rFonts w:ascii="Microsoft Sans Serif" w:hAnsi="Microsoft Sans Serif" w:cs="Microsoft Sans Serif"/>
      <w:i/>
      <w:iCs/>
      <w:color w:val="000000"/>
      <w:spacing w:val="0"/>
      <w:position w:val="0"/>
      <w:sz w:val="19"/>
      <w:szCs w:val="19"/>
      <w:u w:val="none"/>
      <w:lang w:val="ru-RU" w:eastAsia="ru-RU"/>
    </w:rPr>
  </w:style>
  <w:style w:type="character" w:styleId="1037" w:customStyle="1">
    <w:name w:val="Основной текст (5) Exact"/>
    <w:uiPriority w:val="99"/>
    <w:rPr>
      <w:rFonts w:ascii="Arial Unicode MS" w:hAnsi="Arial Unicode MS" w:cs="Arial Unicode MS" w:eastAsia="Arial Unicode MS"/>
      <w:spacing w:val="1"/>
      <w:sz w:val="12"/>
      <w:szCs w:val="12"/>
      <w:u w:val="none"/>
    </w:rPr>
  </w:style>
  <w:style w:type="character" w:styleId="1038" w:customStyle="1">
    <w:name w:val="Основной текст (5) Exact1"/>
    <w:uiPriority w:val="99"/>
    <w:rPr>
      <w:rFonts w:ascii="Arial Unicode MS" w:hAnsi="Arial Unicode MS" w:cs="Arial Unicode MS" w:eastAsia="Arial Unicode MS"/>
      <w:spacing w:val="1"/>
      <w:sz w:val="12"/>
      <w:szCs w:val="12"/>
      <w:u w:val="none"/>
    </w:rPr>
  </w:style>
  <w:style w:type="character" w:styleId="1039" w:customStyle="1">
    <w:name w:val="Подпись к картинке (3) Exact"/>
    <w:link w:val="1130"/>
    <w:uiPriority w:val="99"/>
    <w:rPr>
      <w:rFonts w:ascii="Arial Unicode MS" w:hAnsi="Arial Unicode MS" w:cs="Arial Unicode MS" w:eastAsia="Arial Unicode MS"/>
      <w:spacing w:val="1"/>
      <w:sz w:val="12"/>
      <w:szCs w:val="12"/>
      <w:shd w:val="clear" w:color="auto" w:fill="ffffff"/>
    </w:rPr>
  </w:style>
  <w:style w:type="character" w:styleId="1040" w:customStyle="1">
    <w:name w:val="Подпись к картинке (3) + Интервал 1 pt Exact"/>
    <w:uiPriority w:val="99"/>
    <w:rPr>
      <w:rFonts w:ascii="Arial Unicode MS" w:hAnsi="Arial Unicode MS" w:cs="Arial Unicode MS" w:eastAsia="Arial Unicode MS"/>
      <w:color w:val="000000"/>
      <w:spacing w:val="36"/>
      <w:position w:val="0"/>
      <w:sz w:val="12"/>
      <w:szCs w:val="12"/>
      <w:u w:val="none"/>
      <w:lang w:val="ru-RU" w:eastAsia="ru-RU"/>
    </w:rPr>
  </w:style>
  <w:style w:type="character" w:styleId="1041" w:customStyle="1">
    <w:name w:val="Подпись к картинке (4) Exact"/>
    <w:link w:val="1131"/>
    <w:uiPriority w:val="99"/>
    <w:rPr>
      <w:rFonts w:ascii="Times New Roman" w:hAnsi="Times New Roman"/>
      <w:b/>
      <w:bCs/>
      <w:spacing w:val="3"/>
      <w:sz w:val="15"/>
      <w:szCs w:val="15"/>
      <w:shd w:val="clear" w:color="auto" w:fill="ffffff"/>
    </w:rPr>
  </w:style>
  <w:style w:type="character" w:styleId="1042" w:customStyle="1">
    <w:name w:val="Подпись к картинке (4) Exact1"/>
    <w:uiPriority w:val="99"/>
    <w:rPr>
      <w:rFonts w:ascii="Times New Roman" w:hAnsi="Times New Roman" w:cs="Times New Roman"/>
      <w:b/>
      <w:bCs/>
      <w:color w:val="000000"/>
      <w:spacing w:val="3"/>
      <w:position w:val="0"/>
      <w:sz w:val="15"/>
      <w:szCs w:val="15"/>
      <w:u w:val="none"/>
      <w:lang w:val="ru-RU" w:eastAsia="ru-RU"/>
    </w:rPr>
  </w:style>
  <w:style w:type="character" w:styleId="1043" w:customStyle="1">
    <w:name w:val="Подпись к картинке (5) Exact"/>
    <w:link w:val="1132"/>
    <w:uiPriority w:val="99"/>
    <w:rPr>
      <w:b/>
      <w:bCs/>
      <w:spacing w:val="3"/>
      <w:sz w:val="19"/>
      <w:szCs w:val="19"/>
      <w:shd w:val="clear" w:color="auto" w:fill="ffffff"/>
    </w:rPr>
  </w:style>
  <w:style w:type="character" w:styleId="1044" w:customStyle="1">
    <w:name w:val="Подпись к картинке Exact"/>
    <w:uiPriority w:val="99"/>
    <w:rPr>
      <w:rFonts w:ascii="Times New Roman" w:hAnsi="Times New Roman" w:cs="Times New Roman"/>
      <w:spacing w:val="3"/>
      <w:sz w:val="21"/>
      <w:szCs w:val="21"/>
      <w:u w:val="none"/>
    </w:rPr>
  </w:style>
  <w:style w:type="character" w:styleId="1045" w:customStyle="1">
    <w:name w:val="Основной текст (6) + Calibri"/>
    <w:uiPriority w:val="99"/>
    <w:rPr>
      <w:rFonts w:ascii="Calibri" w:hAnsi="Calibri" w:cs="Calibri" w:eastAsia="Arial Unicode MS"/>
      <w:i/>
      <w:iCs/>
      <w:color w:val="000000"/>
      <w:spacing w:val="3"/>
      <w:position w:val="0"/>
      <w:sz w:val="9"/>
      <w:szCs w:val="9"/>
      <w:u w:val="none"/>
      <w:lang w:val="ru-RU" w:eastAsia="ru-RU"/>
    </w:rPr>
  </w:style>
  <w:style w:type="character" w:styleId="1046" w:customStyle="1">
    <w:name w:val="Основной текст (6) Exact1"/>
    <w:uiPriority w:val="99"/>
    <w:rPr>
      <w:rFonts w:ascii="Arial Unicode MS" w:hAnsi="Arial Unicode MS" w:cs="Arial Unicode MS" w:eastAsia="Arial Unicode MS"/>
      <w:color w:val="000000"/>
      <w:spacing w:val="-2"/>
      <w:position w:val="0"/>
      <w:sz w:val="9"/>
      <w:szCs w:val="9"/>
      <w:u w:val="none"/>
      <w:lang w:val="ru-RU" w:eastAsia="ru-RU"/>
    </w:rPr>
  </w:style>
  <w:style w:type="character" w:styleId="1047" w:customStyle="1">
    <w:name w:val="Основной текст (7) Exact"/>
    <w:link w:val="1133"/>
    <w:uiPriority w:val="99"/>
    <w:rPr>
      <w:b/>
      <w:bCs/>
      <w:sz w:val="13"/>
      <w:szCs w:val="13"/>
      <w:shd w:val="clear" w:color="auto" w:fill="ffffff"/>
    </w:rPr>
  </w:style>
  <w:style w:type="character" w:styleId="1048" w:customStyle="1">
    <w:name w:val="Основной текст (7) + Arial Unicode MS"/>
    <w:uiPriority w:val="99"/>
    <w:rPr>
      <w:rFonts w:ascii="Arial Unicode MS" w:hAnsi="Arial Unicode MS" w:cs="Arial Unicode MS" w:eastAsia="Arial Unicode MS"/>
      <w:b/>
      <w:bCs/>
      <w:i/>
      <w:iCs/>
      <w:color w:val="000000"/>
      <w:spacing w:val="0"/>
      <w:position w:val="0"/>
      <w:sz w:val="12"/>
      <w:szCs w:val="12"/>
      <w:u w:val="none"/>
      <w:lang w:val="ru-RU" w:eastAsia="ru-RU"/>
    </w:rPr>
  </w:style>
  <w:style w:type="character" w:styleId="1049" w:customStyle="1">
    <w:name w:val="Основной текст (7) + Не полужирный"/>
    <w:uiPriority w:val="99"/>
    <w:rPr>
      <w:rFonts w:ascii="Calibri" w:hAnsi="Calibri" w:cs="Calibri"/>
      <w:b/>
      <w:bCs/>
      <w:color w:val="000000"/>
      <w:spacing w:val="-6"/>
      <w:position w:val="0"/>
      <w:sz w:val="13"/>
      <w:szCs w:val="13"/>
      <w:u w:val="single"/>
      <w:lang w:val="ru-RU" w:eastAsia="ru-RU"/>
    </w:rPr>
  </w:style>
  <w:style w:type="character" w:styleId="1050" w:customStyle="1">
    <w:name w:val="Основной текст (7) Exact1"/>
    <w:uiPriority w:val="99"/>
    <w:rPr>
      <w:rFonts w:ascii="Calibri" w:hAnsi="Calibri" w:cs="Calibri"/>
      <w:b/>
      <w:bCs/>
      <w:color w:val="000000"/>
      <w:spacing w:val="0"/>
      <w:position w:val="0"/>
      <w:sz w:val="13"/>
      <w:szCs w:val="13"/>
      <w:u w:val="single"/>
      <w:lang w:val="ru-RU" w:eastAsia="ru-RU"/>
    </w:rPr>
  </w:style>
  <w:style w:type="character" w:styleId="1051" w:customStyle="1">
    <w:name w:val="Основной текст (7) + Arial Unicode MS1"/>
    <w:uiPriority w:val="99"/>
    <w:rPr>
      <w:rFonts w:ascii="Arial Unicode MS" w:hAnsi="Arial Unicode MS" w:cs="Arial Unicode MS" w:eastAsia="Arial Unicode MS"/>
      <w:b/>
      <w:bCs/>
      <w:i/>
      <w:iCs/>
      <w:color w:val="000000"/>
      <w:spacing w:val="0"/>
      <w:position w:val="0"/>
      <w:sz w:val="12"/>
      <w:szCs w:val="12"/>
      <w:u w:val="single"/>
      <w:lang w:val="ru-RU" w:eastAsia="ru-RU"/>
    </w:rPr>
  </w:style>
  <w:style w:type="character" w:styleId="1052" w:customStyle="1">
    <w:name w:val="Основной текст (8) Exact"/>
    <w:uiPriority w:val="99"/>
    <w:rPr>
      <w:rFonts w:ascii="Microsoft Sans Serif" w:hAnsi="Microsoft Sans Serif" w:cs="Microsoft Sans Serif"/>
      <w:spacing w:val="5"/>
      <w:sz w:val="11"/>
      <w:szCs w:val="11"/>
      <w:shd w:val="clear" w:color="auto" w:fill="ffffff"/>
      <w:lang w:val="en-US" w:eastAsia="en-US"/>
    </w:rPr>
  </w:style>
  <w:style w:type="character" w:styleId="1053" w:customStyle="1">
    <w:name w:val="Основной текст (9) Exact"/>
    <w:link w:val="1134"/>
    <w:uiPriority w:val="99"/>
    <w:rPr>
      <w:rFonts w:ascii="Times New Roman" w:hAnsi="Times New Roman"/>
      <w:b/>
      <w:bCs/>
      <w:spacing w:val="3"/>
      <w:sz w:val="15"/>
      <w:szCs w:val="15"/>
      <w:shd w:val="clear" w:color="auto" w:fill="ffffff"/>
    </w:rPr>
  </w:style>
  <w:style w:type="character" w:styleId="1054" w:customStyle="1">
    <w:name w:val="Подпись к таблице (2)_"/>
    <w:link w:val="1135"/>
    <w:uiPriority w:val="99"/>
    <w:rPr>
      <w:rFonts w:ascii="Arial Unicode MS" w:hAnsi="Arial Unicode MS" w:cs="Arial Unicode MS" w:eastAsia="Arial Unicode MS"/>
      <w:sz w:val="14"/>
      <w:szCs w:val="14"/>
      <w:shd w:val="clear" w:color="auto" w:fill="ffffff"/>
    </w:rPr>
  </w:style>
  <w:style w:type="character" w:styleId="1055" w:customStyle="1">
    <w:name w:val="Основной текст (5)_"/>
    <w:link w:val="1129"/>
    <w:uiPriority w:val="99"/>
    <w:rPr>
      <w:rFonts w:ascii="Arial Unicode MS" w:hAnsi="Arial Unicode MS" w:cs="Arial Unicode MS" w:eastAsia="Arial Unicode MS"/>
      <w:sz w:val="14"/>
      <w:szCs w:val="14"/>
      <w:shd w:val="clear" w:color="auto" w:fill="ffffff"/>
    </w:rPr>
  </w:style>
  <w:style w:type="character" w:styleId="1056" w:customStyle="1">
    <w:name w:val="Подпись к картинке Exact1"/>
    <w:uiPriority w:val="99"/>
    <w:rPr>
      <w:rFonts w:ascii="Times New Roman" w:hAnsi="Times New Roman" w:cs="Times New Roman"/>
      <w:color w:val="000000"/>
      <w:spacing w:val="3"/>
      <w:position w:val="0"/>
      <w:sz w:val="21"/>
      <w:szCs w:val="21"/>
      <w:u w:val="none"/>
      <w:lang w:val="en-US" w:eastAsia="en-US"/>
    </w:rPr>
  </w:style>
  <w:style w:type="character" w:styleId="1057" w:customStyle="1">
    <w:name w:val="Подпись к картинке (6) Exact"/>
    <w:link w:val="1136"/>
    <w:uiPriority w:val="99"/>
    <w:rPr>
      <w:rFonts w:ascii="Times New Roman" w:hAnsi="Times New Roman"/>
      <w:spacing w:val="1"/>
      <w:sz w:val="16"/>
      <w:szCs w:val="16"/>
      <w:shd w:val="clear" w:color="auto" w:fill="ffffff"/>
    </w:rPr>
  </w:style>
  <w:style w:type="character" w:styleId="1058" w:customStyle="1">
    <w:name w:val="Подпись к картинке (6) Exact1"/>
    <w:uiPriority w:val="99"/>
    <w:rPr>
      <w:rFonts w:ascii="Times New Roman" w:hAnsi="Times New Roman" w:cs="Times New Roman"/>
      <w:color w:val="000000"/>
      <w:spacing w:val="1"/>
      <w:position w:val="0"/>
      <w:sz w:val="16"/>
      <w:szCs w:val="16"/>
      <w:u w:val="none"/>
      <w:lang w:val="ru-RU" w:eastAsia="ru-RU"/>
    </w:rPr>
  </w:style>
  <w:style w:type="character" w:styleId="1059" w:customStyle="1">
    <w:name w:val="Подпись к картинке (7) Exact"/>
    <w:link w:val="1137"/>
    <w:uiPriority w:val="99"/>
    <w:rPr>
      <w:rFonts w:ascii="Times New Roman" w:hAnsi="Times New Roman"/>
      <w:i/>
      <w:iCs/>
      <w:spacing w:val="-18"/>
      <w:sz w:val="21"/>
      <w:szCs w:val="21"/>
      <w:shd w:val="clear" w:color="auto" w:fill="ffffff"/>
    </w:rPr>
  </w:style>
  <w:style w:type="character" w:styleId="1060" w:customStyle="1">
    <w:name w:val="Подпись к картинке (7) Exact1"/>
    <w:uiPriority w:val="99"/>
    <w:rPr>
      <w:rFonts w:ascii="Times New Roman" w:hAnsi="Times New Roman" w:cs="Times New Roman"/>
      <w:i/>
      <w:iCs/>
      <w:color w:val="000000"/>
      <w:spacing w:val="-18"/>
      <w:position w:val="0"/>
      <w:sz w:val="21"/>
      <w:szCs w:val="21"/>
      <w:u w:val="none"/>
      <w:lang w:val="ru-RU" w:eastAsia="ru-RU"/>
    </w:rPr>
  </w:style>
  <w:style w:type="character" w:styleId="1061" w:customStyle="1">
    <w:name w:val="Основной текст (10) Exact"/>
    <w:link w:val="1138"/>
    <w:uiPriority w:val="99"/>
    <w:rPr>
      <w:rFonts w:ascii="Times New Roman" w:hAnsi="Times New Roman"/>
      <w:i/>
      <w:iCs/>
      <w:spacing w:val="7"/>
      <w:sz w:val="16"/>
      <w:szCs w:val="16"/>
      <w:shd w:val="clear" w:color="auto" w:fill="ffffff"/>
    </w:rPr>
  </w:style>
  <w:style w:type="character" w:styleId="1062" w:customStyle="1">
    <w:name w:val="Основной текст (10) Exact1"/>
    <w:uiPriority w:val="99"/>
    <w:rPr>
      <w:rFonts w:ascii="Times New Roman" w:hAnsi="Times New Roman" w:cs="Times New Roman"/>
      <w:i/>
      <w:iCs/>
      <w:color w:val="000000"/>
      <w:spacing w:val="7"/>
      <w:position w:val="0"/>
      <w:sz w:val="16"/>
      <w:szCs w:val="16"/>
      <w:u w:val="none"/>
      <w:lang w:val="ru-RU" w:eastAsia="ru-RU"/>
    </w:rPr>
  </w:style>
  <w:style w:type="character" w:styleId="1063" w:customStyle="1">
    <w:name w:val="Основной текст (11) Exact"/>
    <w:link w:val="1139"/>
    <w:uiPriority w:val="99"/>
    <w:rPr>
      <w:rFonts w:ascii="Gungsuh" w:hAnsi="Gungsuh" w:cs="Gungsuh" w:eastAsia="Gungsuh"/>
      <w:i/>
      <w:iCs/>
      <w:sz w:val="26"/>
      <w:szCs w:val="26"/>
      <w:shd w:val="clear" w:color="auto" w:fill="ffffff"/>
    </w:rPr>
  </w:style>
  <w:style w:type="character" w:styleId="1064" w:customStyle="1">
    <w:name w:val="Основной текст (11) Exact1"/>
    <w:uiPriority w:val="99"/>
    <w:rPr>
      <w:rFonts w:ascii="Gungsuh" w:hAnsi="Gungsuh" w:cs="Gungsuh" w:eastAsia="Gungsuh"/>
      <w:i/>
      <w:iCs/>
      <w:color w:val="000000"/>
      <w:spacing w:val="0"/>
      <w:position w:val="0"/>
      <w:sz w:val="26"/>
      <w:szCs w:val="26"/>
      <w:u w:val="none"/>
      <w:lang w:val="ru-RU" w:eastAsia="ru-RU"/>
    </w:rPr>
  </w:style>
  <w:style w:type="character" w:styleId="1065" w:customStyle="1">
    <w:name w:val="Основной текст (12) Exact"/>
    <w:link w:val="1140"/>
    <w:uiPriority w:val="99"/>
    <w:rPr>
      <w:rFonts w:ascii="Times New Roman" w:hAnsi="Times New Roman"/>
      <w:i/>
      <w:iCs/>
      <w:spacing w:val="-18"/>
      <w:sz w:val="21"/>
      <w:szCs w:val="21"/>
      <w:shd w:val="clear" w:color="auto" w:fill="ffffff"/>
      <w:lang w:val="en-US"/>
    </w:rPr>
  </w:style>
  <w:style w:type="character" w:styleId="1066" w:customStyle="1">
    <w:name w:val="Основной текст (12) Exact1"/>
    <w:uiPriority w:val="99"/>
    <w:rPr>
      <w:rFonts w:ascii="Times New Roman" w:hAnsi="Times New Roman" w:cs="Times New Roman"/>
      <w:i/>
      <w:iCs/>
      <w:color w:val="000000"/>
      <w:spacing w:val="-18"/>
      <w:position w:val="0"/>
      <w:sz w:val="21"/>
      <w:szCs w:val="21"/>
      <w:u w:val="none"/>
      <w:lang w:val="en-US" w:eastAsia="en-US"/>
    </w:rPr>
  </w:style>
  <w:style w:type="character" w:styleId="1067" w:customStyle="1">
    <w:name w:val="Основной текст Exact"/>
    <w:uiPriority w:val="99"/>
    <w:rPr>
      <w:rFonts w:ascii="Times New Roman" w:hAnsi="Times New Roman" w:cs="Times New Roman"/>
      <w:spacing w:val="3"/>
      <w:sz w:val="21"/>
      <w:szCs w:val="21"/>
      <w:u w:val="none"/>
    </w:rPr>
  </w:style>
  <w:style w:type="character" w:styleId="1068" w:customStyle="1">
    <w:name w:val="Основной текст Exact1"/>
    <w:uiPriority w:val="99"/>
    <w:rPr>
      <w:rFonts w:ascii="Times New Roman" w:hAnsi="Times New Roman" w:cs="Times New Roman"/>
      <w:color w:val="000000"/>
      <w:spacing w:val="3"/>
      <w:position w:val="0"/>
      <w:sz w:val="21"/>
      <w:szCs w:val="21"/>
      <w:u w:val="none"/>
      <w:lang w:val="ru-RU" w:eastAsia="ru-RU"/>
    </w:rPr>
  </w:style>
  <w:style w:type="character" w:styleId="1069" w:customStyle="1">
    <w:name w:val="Основной текст (13) Exact"/>
    <w:link w:val="1141"/>
    <w:uiPriority w:val="99"/>
    <w:rPr>
      <w:rFonts w:ascii="Times New Roman" w:hAnsi="Times New Roman"/>
      <w:i/>
      <w:iCs/>
      <w:spacing w:val="-28"/>
      <w:shd w:val="clear" w:color="auto" w:fill="ffffff"/>
    </w:rPr>
  </w:style>
  <w:style w:type="character" w:styleId="1070" w:customStyle="1">
    <w:name w:val="Основной текст (13) Exact1"/>
    <w:uiPriority w:val="99"/>
    <w:rPr>
      <w:rFonts w:ascii="Times New Roman" w:hAnsi="Times New Roman" w:cs="Times New Roman"/>
      <w:i/>
      <w:iCs/>
      <w:color w:val="000000"/>
      <w:spacing w:val="-28"/>
      <w:position w:val="0"/>
      <w:sz w:val="20"/>
      <w:szCs w:val="20"/>
      <w:u w:val="none"/>
      <w:lang w:val="ru-RU" w:eastAsia="ru-RU"/>
    </w:rPr>
  </w:style>
  <w:style w:type="character" w:styleId="1071" w:customStyle="1">
    <w:name w:val="Основной текст (14) Exact"/>
    <w:link w:val="1142"/>
    <w:uiPriority w:val="99"/>
    <w:rPr>
      <w:shd w:val="clear" w:color="auto" w:fill="ffffff"/>
      <w:lang w:val="en-US"/>
    </w:rPr>
  </w:style>
  <w:style w:type="character" w:styleId="1072" w:customStyle="1">
    <w:name w:val="Основной текст (14) Exact1"/>
    <w:uiPriority w:val="99"/>
    <w:rPr>
      <w:rFonts w:ascii="Calibri" w:hAnsi="Calibri" w:cs="Calibri"/>
      <w:color w:val="000000"/>
      <w:spacing w:val="0"/>
      <w:position w:val="0"/>
      <w:sz w:val="20"/>
      <w:szCs w:val="20"/>
      <w:u w:val="none"/>
      <w:lang w:val="en-US" w:eastAsia="en-US"/>
    </w:rPr>
  </w:style>
  <w:style w:type="character" w:styleId="1073" w:customStyle="1">
    <w:name w:val="Основной текст (3) Exact"/>
    <w:uiPriority w:val="99"/>
    <w:rPr>
      <w:rFonts w:ascii="Times New Roman" w:hAnsi="Times New Roman" w:cs="Times New Roman"/>
      <w:b/>
      <w:bCs/>
      <w:spacing w:val="3"/>
      <w:sz w:val="21"/>
      <w:szCs w:val="21"/>
      <w:u w:val="none"/>
    </w:rPr>
  </w:style>
  <w:style w:type="character" w:styleId="1074" w:customStyle="1">
    <w:name w:val="Подпись к таблице (3)_"/>
    <w:link w:val="1143"/>
    <w:uiPriority w:val="99"/>
    <w:rPr>
      <w:rFonts w:ascii="Times New Roman" w:hAnsi="Times New Roman"/>
      <w:shd w:val="clear" w:color="auto" w:fill="ffffff"/>
    </w:rPr>
  </w:style>
  <w:style w:type="character" w:styleId="1075" w:customStyle="1">
    <w:name w:val="Основной текст + 5 pt"/>
    <w:uiPriority w:val="99"/>
    <w:rPr>
      <w:rFonts w:ascii="Times New Roman" w:hAnsi="Times New Roman" w:cs="Times New Roman"/>
      <w:color w:val="000000"/>
      <w:spacing w:val="0"/>
      <w:position w:val="0"/>
      <w:sz w:val="10"/>
      <w:szCs w:val="10"/>
      <w:u w:val="none"/>
      <w:lang w:val="ru-RU" w:eastAsia="ru-RU"/>
    </w:rPr>
  </w:style>
  <w:style w:type="character" w:styleId="1076" w:customStyle="1">
    <w:name w:val="Основной текст + Calibri"/>
    <w:uiPriority w:val="99"/>
    <w:rPr>
      <w:rFonts w:ascii="Calibri" w:hAnsi="Calibri" w:cs="Calibri"/>
      <w:color w:val="000000"/>
      <w:spacing w:val="-20"/>
      <w:position w:val="0"/>
      <w:sz w:val="20"/>
      <w:szCs w:val="20"/>
      <w:u w:val="none"/>
      <w:lang w:val="ru-RU" w:eastAsia="ru-RU"/>
    </w:rPr>
  </w:style>
  <w:style w:type="character" w:styleId="1077" w:customStyle="1">
    <w:name w:val="Основной текст + Calibri8"/>
    <w:uiPriority w:val="99"/>
    <w:rPr>
      <w:rFonts w:ascii="Calibri" w:hAnsi="Calibri" w:cs="Calibri"/>
      <w:color w:val="000000"/>
      <w:spacing w:val="-20"/>
      <w:position w:val="0"/>
      <w:sz w:val="20"/>
      <w:szCs w:val="20"/>
      <w:u w:val="none"/>
      <w:lang w:val="en-US" w:eastAsia="en-US"/>
    </w:rPr>
  </w:style>
  <w:style w:type="character" w:styleId="1078" w:customStyle="1">
    <w:name w:val="Основной текст + Calibri7"/>
    <w:uiPriority w:val="99"/>
    <w:rPr>
      <w:rFonts w:ascii="Calibri" w:hAnsi="Calibri" w:cs="Calibri"/>
      <w:color w:val="000000"/>
      <w:spacing w:val="-20"/>
      <w:position w:val="0"/>
      <w:sz w:val="20"/>
      <w:szCs w:val="20"/>
      <w:u w:val="none"/>
      <w:lang w:val="ru-RU" w:eastAsia="ru-RU"/>
    </w:rPr>
  </w:style>
  <w:style w:type="character" w:styleId="1079" w:customStyle="1">
    <w:name w:val="Основной текст + Calibri6"/>
    <w:uiPriority w:val="99"/>
    <w:rPr>
      <w:rFonts w:ascii="Calibri" w:hAnsi="Calibri" w:cs="Calibri"/>
      <w:color w:val="000000"/>
      <w:spacing w:val="-20"/>
      <w:position w:val="0"/>
      <w:sz w:val="20"/>
      <w:szCs w:val="20"/>
      <w:u w:val="none"/>
      <w:lang w:val="ru-RU" w:eastAsia="ru-RU"/>
    </w:rPr>
  </w:style>
  <w:style w:type="character" w:styleId="1080" w:customStyle="1">
    <w:name w:val="Основной текст + Calibri5"/>
    <w:uiPriority w:val="99"/>
    <w:rPr>
      <w:rFonts w:ascii="Calibri" w:hAnsi="Calibri" w:cs="Calibri"/>
      <w:i/>
      <w:iCs/>
      <w:color w:val="000000"/>
      <w:spacing w:val="-10"/>
      <w:position w:val="0"/>
      <w:sz w:val="20"/>
      <w:szCs w:val="20"/>
      <w:u w:val="none"/>
      <w:lang w:val="ru-RU" w:eastAsia="ru-RU"/>
    </w:rPr>
  </w:style>
  <w:style w:type="character" w:styleId="1081" w:customStyle="1">
    <w:name w:val="Основной текст + Calibri4"/>
    <w:uiPriority w:val="99"/>
    <w:rPr>
      <w:rFonts w:ascii="Calibri" w:hAnsi="Calibri" w:cs="Calibri"/>
      <w:color w:val="000000"/>
      <w:spacing w:val="0"/>
      <w:position w:val="0"/>
      <w:sz w:val="20"/>
      <w:szCs w:val="20"/>
      <w:u w:val="none"/>
      <w:lang w:val="ru-RU" w:eastAsia="ru-RU"/>
    </w:rPr>
  </w:style>
  <w:style w:type="character" w:styleId="1082" w:customStyle="1">
    <w:name w:val="Основной текст + Calibri3"/>
    <w:uiPriority w:val="99"/>
    <w:rPr>
      <w:rFonts w:ascii="Calibri" w:hAnsi="Calibri" w:cs="Calibri"/>
      <w:i/>
      <w:iCs/>
      <w:color w:val="000000"/>
      <w:spacing w:val="-10"/>
      <w:position w:val="0"/>
      <w:sz w:val="20"/>
      <w:szCs w:val="20"/>
      <w:u w:val="none"/>
      <w:lang w:val="ru-RU" w:eastAsia="ru-RU"/>
    </w:rPr>
  </w:style>
  <w:style w:type="character" w:styleId="1083" w:customStyle="1">
    <w:name w:val="Основной текст + Calibri2"/>
    <w:uiPriority w:val="99"/>
    <w:rPr>
      <w:rFonts w:ascii="Calibri" w:hAnsi="Calibri" w:cs="Calibri"/>
      <w:color w:val="000000"/>
      <w:spacing w:val="0"/>
      <w:position w:val="0"/>
      <w:sz w:val="20"/>
      <w:szCs w:val="20"/>
      <w:u w:val="none"/>
      <w:lang w:val="ru-RU" w:eastAsia="ru-RU"/>
    </w:rPr>
  </w:style>
  <w:style w:type="character" w:styleId="1084" w:customStyle="1">
    <w:name w:val="Основной текст + Calibri1"/>
    <w:uiPriority w:val="99"/>
    <w:rPr>
      <w:rFonts w:ascii="Calibri" w:hAnsi="Calibri" w:cs="Calibri"/>
      <w:color w:val="000000"/>
      <w:spacing w:val="0"/>
      <w:position w:val="0"/>
      <w:sz w:val="20"/>
      <w:szCs w:val="20"/>
      <w:u w:val="none"/>
      <w:lang w:val="ru-RU" w:eastAsia="ru-RU"/>
    </w:rPr>
  </w:style>
  <w:style w:type="character" w:styleId="1085" w:customStyle="1">
    <w:name w:val="Подпись к таблице (2)"/>
    <w:uiPriority w:val="99"/>
    <w:rPr>
      <w:rFonts w:ascii="Arial Unicode MS" w:hAnsi="Arial Unicode MS" w:cs="Arial Unicode MS" w:eastAsia="Arial Unicode MS"/>
      <w:color w:val="000000"/>
      <w:spacing w:val="0"/>
      <w:position w:val="0"/>
      <w:sz w:val="14"/>
      <w:szCs w:val="14"/>
      <w:u w:val="none"/>
      <w:lang w:val="ru-RU" w:eastAsia="ru-RU"/>
    </w:rPr>
  </w:style>
  <w:style w:type="character" w:styleId="1086" w:customStyle="1">
    <w:name w:val="Подпись к таблице (4)_"/>
    <w:link w:val="1145"/>
    <w:uiPriority w:val="99"/>
    <w:rPr>
      <w:rFonts w:ascii="Arial Unicode MS" w:hAnsi="Arial Unicode MS" w:cs="Arial Unicode MS" w:eastAsia="Arial Unicode MS"/>
      <w:sz w:val="10"/>
      <w:szCs w:val="10"/>
      <w:shd w:val="clear" w:color="auto" w:fill="ffffff"/>
    </w:rPr>
  </w:style>
  <w:style w:type="character" w:styleId="1087" w:customStyle="1">
    <w:name w:val="Подпись к таблице (4)"/>
    <w:uiPriority w:val="99"/>
    <w:rPr>
      <w:rFonts w:ascii="Arial Unicode MS" w:hAnsi="Arial Unicode MS" w:cs="Arial Unicode MS" w:eastAsia="Arial Unicode MS"/>
      <w:color w:val="000000"/>
      <w:spacing w:val="0"/>
      <w:position w:val="0"/>
      <w:sz w:val="10"/>
      <w:szCs w:val="10"/>
      <w:u w:val="none"/>
      <w:lang w:val="ru-RU" w:eastAsia="ru-RU"/>
    </w:rPr>
  </w:style>
  <w:style w:type="character" w:styleId="1088" w:customStyle="1">
    <w:name w:val="Подпись к таблице (5)_"/>
    <w:link w:val="1146"/>
    <w:uiPriority w:val="99"/>
    <w:rPr>
      <w:rFonts w:ascii="Times New Roman" w:hAnsi="Times New Roman"/>
      <w:sz w:val="16"/>
      <w:szCs w:val="16"/>
      <w:shd w:val="clear" w:color="auto" w:fill="ffffff"/>
    </w:rPr>
  </w:style>
  <w:style w:type="character" w:styleId="1089" w:customStyle="1">
    <w:name w:val="Подпись к таблице (5)"/>
    <w:uiPriority w:val="99"/>
    <w:rPr>
      <w:rFonts w:ascii="Times New Roman" w:hAnsi="Times New Roman" w:cs="Times New Roman"/>
      <w:color w:val="000000"/>
      <w:spacing w:val="0"/>
      <w:position w:val="0"/>
      <w:sz w:val="16"/>
      <w:szCs w:val="16"/>
      <w:u w:val="none"/>
      <w:lang w:val="ru-RU" w:eastAsia="ru-RU"/>
    </w:rPr>
  </w:style>
  <w:style w:type="character" w:styleId="1090" w:customStyle="1">
    <w:name w:val="Подпись к таблице (3)"/>
    <w:uiPriority w:val="99"/>
    <w:rPr>
      <w:rFonts w:ascii="Times New Roman" w:hAnsi="Times New Roman" w:cs="Times New Roman"/>
      <w:color w:val="000000"/>
      <w:spacing w:val="0"/>
      <w:position w:val="0"/>
      <w:sz w:val="22"/>
      <w:szCs w:val="22"/>
      <w:u w:val="none"/>
      <w:lang w:val="ru-RU" w:eastAsia="ru-RU"/>
    </w:rPr>
  </w:style>
  <w:style w:type="character" w:styleId="1091" w:customStyle="1">
    <w:name w:val="Подпись к таблице (2) + Times New Roman"/>
    <w:uiPriority w:val="99"/>
    <w:rPr>
      <w:rFonts w:ascii="Times New Roman" w:hAnsi="Times New Roman" w:cs="Times New Roman" w:eastAsia="Arial Unicode MS"/>
      <w:color w:val="000000"/>
      <w:spacing w:val="0"/>
      <w:position w:val="0"/>
      <w:sz w:val="22"/>
      <w:szCs w:val="22"/>
      <w:u w:val="none"/>
      <w:lang w:val="ru-RU" w:eastAsia="ru-RU"/>
    </w:rPr>
  </w:style>
  <w:style w:type="character" w:styleId="1092" w:customStyle="1">
    <w:name w:val="Подпись к таблице (6)_"/>
    <w:link w:val="1147"/>
    <w:uiPriority w:val="99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styleId="1093" w:customStyle="1">
    <w:name w:val="Подпись к таблице (6)"/>
    <w:uiPriority w:val="99"/>
    <w:rPr>
      <w:rFonts w:ascii="Times New Roman" w:hAnsi="Times New Roman" w:cs="Times New Roman"/>
      <w:b/>
      <w:bCs/>
      <w:color w:val="000000"/>
      <w:spacing w:val="0"/>
      <w:position w:val="0"/>
      <w:sz w:val="17"/>
      <w:szCs w:val="17"/>
      <w:u w:val="none"/>
      <w:lang w:val="ru-RU" w:eastAsia="ru-RU"/>
    </w:rPr>
  </w:style>
  <w:style w:type="character" w:styleId="1094" w:customStyle="1">
    <w:name w:val="Подпись к таблице (2) + Times New Roman3"/>
    <w:uiPriority w:val="99"/>
    <w:rPr>
      <w:rFonts w:ascii="Times New Roman" w:hAnsi="Times New Roman" w:cs="Times New Roman" w:eastAsia="Arial Unicode MS"/>
      <w:color w:val="000000"/>
      <w:spacing w:val="0"/>
      <w:position w:val="0"/>
      <w:sz w:val="8"/>
      <w:szCs w:val="8"/>
      <w:u w:val="none"/>
      <w:lang w:val="en-US" w:eastAsia="en-US"/>
    </w:rPr>
  </w:style>
  <w:style w:type="character" w:styleId="1095" w:customStyle="1">
    <w:name w:val="Подпись к таблице (2) + Times New Roman2"/>
    <w:uiPriority w:val="99"/>
    <w:rPr>
      <w:rFonts w:ascii="Times New Roman" w:hAnsi="Times New Roman" w:cs="Times New Roman" w:eastAsia="Arial Unicode MS"/>
      <w:color w:val="000000"/>
      <w:spacing w:val="0"/>
      <w:position w:val="0"/>
      <w:sz w:val="10"/>
      <w:szCs w:val="10"/>
      <w:u w:val="none"/>
      <w:lang w:val="ru-RU" w:eastAsia="ru-RU"/>
    </w:rPr>
  </w:style>
  <w:style w:type="character" w:styleId="1096" w:customStyle="1">
    <w:name w:val="Подпись к таблице (7)_"/>
    <w:link w:val="1148"/>
    <w:uiPriority w:val="99"/>
    <w:rPr>
      <w:rFonts w:ascii="Times New Roman" w:hAnsi="Times New Roman"/>
      <w:b/>
      <w:bCs/>
      <w:sz w:val="17"/>
      <w:szCs w:val="17"/>
      <w:shd w:val="clear" w:color="auto" w:fill="ffffff"/>
      <w:lang w:val="en-US"/>
    </w:rPr>
  </w:style>
  <w:style w:type="character" w:styleId="1097" w:customStyle="1">
    <w:name w:val="Подпись к таблице (7)"/>
    <w:uiPriority w:val="99"/>
    <w:rPr>
      <w:rFonts w:ascii="Times New Roman" w:hAnsi="Times New Roman" w:cs="Times New Roman"/>
      <w:b/>
      <w:bCs/>
      <w:color w:val="000000"/>
      <w:spacing w:val="0"/>
      <w:position w:val="0"/>
      <w:sz w:val="17"/>
      <w:szCs w:val="17"/>
      <w:u w:val="none"/>
      <w:lang w:val="en-US" w:eastAsia="en-US"/>
    </w:rPr>
  </w:style>
  <w:style w:type="character" w:styleId="1098" w:customStyle="1">
    <w:name w:val="Подпись к таблице (8)_"/>
    <w:link w:val="1149"/>
    <w:uiPriority w:val="99"/>
    <w:rPr>
      <w:rFonts w:ascii="Times New Roman" w:hAnsi="Times New Roman"/>
      <w:sz w:val="10"/>
      <w:szCs w:val="10"/>
      <w:shd w:val="clear" w:color="auto" w:fill="ffffff"/>
    </w:rPr>
  </w:style>
  <w:style w:type="character" w:styleId="1099" w:customStyle="1">
    <w:name w:val="Подпись к таблице (8)"/>
    <w:uiPriority w:val="99"/>
    <w:rPr>
      <w:rFonts w:ascii="Times New Roman" w:hAnsi="Times New Roman" w:cs="Times New Roman"/>
      <w:color w:val="000000"/>
      <w:spacing w:val="0"/>
      <w:position w:val="0"/>
      <w:sz w:val="10"/>
      <w:szCs w:val="10"/>
      <w:u w:val="none"/>
      <w:lang w:val="ru-RU" w:eastAsia="ru-RU"/>
    </w:rPr>
  </w:style>
  <w:style w:type="character" w:styleId="1100" w:customStyle="1">
    <w:name w:val="Подпись к таблице (2) + Интервал -1 pt"/>
    <w:uiPriority w:val="99"/>
    <w:rPr>
      <w:rFonts w:ascii="Arial Unicode MS" w:hAnsi="Arial Unicode MS" w:cs="Arial Unicode MS" w:eastAsia="Arial Unicode MS"/>
      <w:color w:val="000000"/>
      <w:spacing w:val="-30"/>
      <w:position w:val="0"/>
      <w:sz w:val="14"/>
      <w:szCs w:val="14"/>
      <w:u w:val="none"/>
      <w:lang w:val="en-US" w:eastAsia="en-US"/>
    </w:rPr>
  </w:style>
  <w:style w:type="character" w:styleId="1101" w:customStyle="1">
    <w:name w:val="Подпись к таблице (2) + Times New Roman1"/>
    <w:uiPriority w:val="99"/>
    <w:rPr>
      <w:rFonts w:ascii="Times New Roman" w:hAnsi="Times New Roman" w:cs="Times New Roman" w:eastAsia="Arial Unicode MS"/>
      <w:i/>
      <w:iCs/>
      <w:color w:val="000000"/>
      <w:spacing w:val="-20"/>
      <w:position w:val="0"/>
      <w:sz w:val="13"/>
      <w:szCs w:val="13"/>
      <w:u w:val="none"/>
      <w:lang w:val="ru-RU" w:eastAsia="ru-RU"/>
    </w:rPr>
  </w:style>
  <w:style w:type="character" w:styleId="1102" w:customStyle="1">
    <w:name w:val="Подпись к таблице (2)5"/>
    <w:uiPriority w:val="99"/>
    <w:rPr>
      <w:rFonts w:ascii="Arial Unicode MS" w:hAnsi="Arial Unicode MS" w:cs="Arial Unicode MS" w:eastAsia="Arial Unicode MS"/>
      <w:color w:val="000000"/>
      <w:spacing w:val="0"/>
      <w:position w:val="0"/>
      <w:sz w:val="14"/>
      <w:szCs w:val="14"/>
      <w:u w:val="none"/>
      <w:lang w:val="ru-RU" w:eastAsia="ru-RU"/>
    </w:rPr>
  </w:style>
  <w:style w:type="character" w:styleId="1103" w:customStyle="1">
    <w:name w:val="Подпись к таблице (2)4"/>
    <w:uiPriority w:val="99"/>
    <w:rPr>
      <w:rFonts w:ascii="Arial Unicode MS" w:hAnsi="Arial Unicode MS" w:cs="Arial Unicode MS" w:eastAsia="Arial Unicode MS"/>
      <w:color w:val="000000"/>
      <w:spacing w:val="0"/>
      <w:position w:val="0"/>
      <w:sz w:val="14"/>
      <w:szCs w:val="14"/>
      <w:u w:val="none"/>
      <w:lang w:val="ru-RU" w:eastAsia="ru-RU"/>
    </w:rPr>
  </w:style>
  <w:style w:type="character" w:styleId="1104" w:customStyle="1">
    <w:name w:val="Подпись к таблице (2)3"/>
    <w:uiPriority w:val="99"/>
    <w:rPr>
      <w:rFonts w:ascii="Arial Unicode MS" w:hAnsi="Arial Unicode MS" w:cs="Arial Unicode MS" w:eastAsia="Arial Unicode MS"/>
      <w:color w:val="000000"/>
      <w:spacing w:val="0"/>
      <w:position w:val="0"/>
      <w:sz w:val="14"/>
      <w:szCs w:val="14"/>
      <w:u w:val="none"/>
      <w:lang w:val="ru-RU" w:eastAsia="ru-RU"/>
    </w:rPr>
  </w:style>
  <w:style w:type="character" w:styleId="1105" w:customStyle="1">
    <w:name w:val="Подпись к таблице (2)2"/>
    <w:uiPriority w:val="99"/>
    <w:rPr>
      <w:rFonts w:ascii="Arial Unicode MS" w:hAnsi="Arial Unicode MS" w:cs="Arial Unicode MS" w:eastAsia="Arial Unicode MS"/>
      <w:color w:val="000000"/>
      <w:spacing w:val="0"/>
      <w:position w:val="0"/>
      <w:sz w:val="14"/>
      <w:szCs w:val="14"/>
      <w:u w:val="none"/>
      <w:lang w:val="ru-RU" w:eastAsia="ru-RU"/>
    </w:rPr>
  </w:style>
  <w:style w:type="character" w:styleId="1106" w:customStyle="1">
    <w:name w:val="Колонтитул2"/>
    <w:uiPriority w:val="99"/>
    <w:rPr>
      <w:rFonts w:ascii="Times New Roman" w:hAnsi="Times New Roman" w:cs="Times New Roman"/>
      <w:b/>
      <w:bCs/>
      <w:color w:val="000000"/>
      <w:spacing w:val="0"/>
      <w:position w:val="0"/>
      <w:sz w:val="20"/>
      <w:szCs w:val="20"/>
      <w:u w:val="none"/>
      <w:lang w:val="ru-RU" w:eastAsia="ru-RU"/>
    </w:rPr>
  </w:style>
  <w:style w:type="character" w:styleId="1107" w:customStyle="1">
    <w:name w:val="Основной текст (16)_"/>
    <w:link w:val="1150"/>
    <w:uiPriority w:val="99"/>
    <w:rPr>
      <w:rFonts w:ascii="Arial Unicode MS" w:hAnsi="Arial Unicode MS" w:cs="Arial Unicode MS" w:eastAsia="Arial Unicode MS"/>
      <w:sz w:val="15"/>
      <w:szCs w:val="15"/>
      <w:shd w:val="clear" w:color="auto" w:fill="ffffff"/>
    </w:rPr>
  </w:style>
  <w:style w:type="character" w:styleId="1108" w:customStyle="1">
    <w:name w:val="Основной текст (16)2"/>
    <w:uiPriority w:val="99"/>
    <w:rPr>
      <w:rFonts w:ascii="Arial Unicode MS" w:hAnsi="Arial Unicode MS" w:cs="Arial Unicode MS" w:eastAsia="Arial Unicode MS"/>
      <w:color w:val="000000"/>
      <w:spacing w:val="0"/>
      <w:position w:val="0"/>
      <w:sz w:val="15"/>
      <w:szCs w:val="15"/>
      <w:u w:val="none"/>
      <w:lang w:val="ru-RU" w:eastAsia="ru-RU"/>
    </w:rPr>
  </w:style>
  <w:style w:type="character" w:styleId="1109" w:customStyle="1">
    <w:name w:val="Основной текст (17)_"/>
    <w:link w:val="1151"/>
    <w:uiPriority w:val="99"/>
    <w:rPr>
      <w:rFonts w:ascii="Arial Unicode MS" w:hAnsi="Arial Unicode MS" w:cs="Arial Unicode MS" w:eastAsia="Arial Unicode MS"/>
      <w:i/>
      <w:iCs/>
      <w:spacing w:val="-10"/>
      <w:sz w:val="15"/>
      <w:szCs w:val="15"/>
      <w:shd w:val="clear" w:color="auto" w:fill="ffffff"/>
    </w:rPr>
  </w:style>
  <w:style w:type="character" w:styleId="1110" w:customStyle="1">
    <w:name w:val="Основной текст (17)"/>
    <w:uiPriority w:val="99"/>
    <w:rPr>
      <w:rFonts w:ascii="Arial Unicode MS" w:hAnsi="Arial Unicode MS" w:cs="Arial Unicode MS" w:eastAsia="Arial Unicode MS"/>
      <w:i/>
      <w:iCs/>
      <w:color w:val="000000"/>
      <w:spacing w:val="-10"/>
      <w:position w:val="0"/>
      <w:sz w:val="15"/>
      <w:szCs w:val="15"/>
      <w:u w:val="none"/>
      <w:lang w:val="ru-RU" w:eastAsia="ru-RU"/>
    </w:rPr>
  </w:style>
  <w:style w:type="character" w:styleId="1111" w:customStyle="1">
    <w:name w:val="Основной текст (17) + Times New Roman"/>
    <w:uiPriority w:val="99"/>
    <w:rPr>
      <w:rFonts w:ascii="Times New Roman" w:hAnsi="Times New Roman" w:cs="Times New Roman" w:eastAsia="Arial Unicode MS"/>
      <w:b/>
      <w:bCs/>
      <w:i/>
      <w:iCs/>
      <w:color w:val="000000"/>
      <w:spacing w:val="0"/>
      <w:position w:val="0"/>
      <w:sz w:val="17"/>
      <w:szCs w:val="17"/>
      <w:u w:val="none"/>
      <w:lang w:val="en-US" w:eastAsia="en-US"/>
    </w:rPr>
  </w:style>
  <w:style w:type="character" w:styleId="1112" w:customStyle="1">
    <w:name w:val="Основной текст (18)_"/>
    <w:link w:val="1152"/>
    <w:uiPriority w:val="99"/>
    <w:rPr>
      <w:rFonts w:ascii="Times New Roman" w:hAnsi="Times New Roman"/>
      <w:i/>
      <w:iCs/>
      <w:shd w:val="clear" w:color="auto" w:fill="ffffff"/>
    </w:rPr>
  </w:style>
  <w:style w:type="character" w:styleId="1113" w:customStyle="1">
    <w:name w:val="Основной текст + 83"/>
    <w:uiPriority w:val="99"/>
    <w:rPr>
      <w:rFonts w:ascii="Times New Roman" w:hAnsi="Times New Roman" w:cs="Times New Roman"/>
      <w:i/>
      <w:iCs/>
      <w:color w:val="000000"/>
      <w:spacing w:val="0"/>
      <w:position w:val="0"/>
      <w:sz w:val="17"/>
      <w:szCs w:val="17"/>
      <w:u w:val="none"/>
      <w:lang w:val="ru-RU" w:eastAsia="ru-RU"/>
    </w:rPr>
  </w:style>
  <w:style w:type="character" w:styleId="1114" w:customStyle="1">
    <w:name w:val="Основной текст + 82"/>
    <w:uiPriority w:val="99"/>
    <w:rPr>
      <w:rFonts w:ascii="Times New Roman" w:hAnsi="Times New Roman" w:cs="Times New Roman"/>
      <w:b/>
      <w:bCs/>
      <w:color w:val="000000"/>
      <w:spacing w:val="0"/>
      <w:position w:val="0"/>
      <w:sz w:val="17"/>
      <w:szCs w:val="17"/>
      <w:u w:val="none"/>
      <w:lang w:val="ru-RU" w:eastAsia="ru-RU"/>
    </w:rPr>
  </w:style>
  <w:style w:type="character" w:styleId="1115" w:customStyle="1">
    <w:name w:val="Основной текст + 81"/>
    <w:uiPriority w:val="99"/>
    <w:rPr>
      <w:rFonts w:ascii="Times New Roman" w:hAnsi="Times New Roman" w:cs="Times New Roman"/>
      <w:color w:val="000000"/>
      <w:spacing w:val="0"/>
      <w:position w:val="0"/>
      <w:sz w:val="17"/>
      <w:szCs w:val="17"/>
      <w:u w:val="none"/>
      <w:lang w:val="ru-RU" w:eastAsia="ru-RU"/>
    </w:rPr>
  </w:style>
  <w:style w:type="character" w:styleId="1116" w:customStyle="1">
    <w:name w:val="Основной текст + 6"/>
    <w:uiPriority w:val="99"/>
    <w:rPr>
      <w:rFonts w:ascii="Times New Roman" w:hAnsi="Times New Roman" w:cs="Times New Roman"/>
      <w:i/>
      <w:iCs/>
      <w:color w:val="000000"/>
      <w:spacing w:val="0"/>
      <w:position w:val="0"/>
      <w:sz w:val="13"/>
      <w:szCs w:val="13"/>
      <w:u w:val="none"/>
      <w:lang w:val="ru-RU" w:eastAsia="ru-RU"/>
    </w:rPr>
  </w:style>
  <w:style w:type="character" w:styleId="1117" w:customStyle="1">
    <w:name w:val="Заголовок №2 + Не полужирный"/>
    <w:uiPriority w:val="99"/>
    <w:rPr>
      <w:rFonts w:ascii="Times New Roman" w:hAnsi="Times New Roman" w:cs="Times New Roman"/>
      <w:b/>
      <w:bCs/>
      <w:color w:val="000000"/>
      <w:spacing w:val="0"/>
      <w:position w:val="0"/>
      <w:sz w:val="22"/>
      <w:szCs w:val="22"/>
      <w:u w:val="none"/>
      <w:lang w:val="ru-RU" w:eastAsia="ru-RU"/>
    </w:rPr>
  </w:style>
  <w:style w:type="character" w:styleId="1118" w:customStyle="1">
    <w:name w:val="Основной текст + Полужирный"/>
    <w:uiPriority w:val="99"/>
    <w:rPr>
      <w:rFonts w:ascii="Times New Roman" w:hAnsi="Times New Roman" w:cs="Times New Roman"/>
      <w:b/>
      <w:bCs/>
      <w:color w:val="000000"/>
      <w:spacing w:val="0"/>
      <w:position w:val="0"/>
      <w:sz w:val="22"/>
      <w:szCs w:val="22"/>
      <w:u w:val="none"/>
      <w:lang w:val="ru-RU" w:eastAsia="ru-RU"/>
    </w:rPr>
  </w:style>
  <w:style w:type="character" w:styleId="1119" w:customStyle="1">
    <w:name w:val="Основной текст (3) + Не полужирный"/>
    <w:uiPriority w:val="99"/>
    <w:rPr>
      <w:rFonts w:ascii="Times New Roman" w:hAnsi="Times New Roman" w:cs="Times New Roman"/>
      <w:b/>
      <w:bCs/>
      <w:color w:val="000000"/>
      <w:spacing w:val="0"/>
      <w:position w:val="0"/>
      <w:sz w:val="22"/>
      <w:szCs w:val="22"/>
      <w:u w:val="none"/>
      <w:lang w:val="ru-RU" w:eastAsia="ru-RU"/>
    </w:rPr>
  </w:style>
  <w:style w:type="paragraph" w:styleId="1120" w:customStyle="1">
    <w:name w:val="Заголовок №11"/>
    <w:basedOn w:val="802"/>
    <w:link w:val="1021"/>
    <w:uiPriority w:val="99"/>
    <w:pPr>
      <w:jc w:val="both"/>
      <w:spacing w:after="60" w:line="240" w:lineRule="atLeast"/>
      <w:shd w:val="clear" w:color="auto" w:fill="ffffff"/>
      <w:widowControl w:val="off"/>
      <w:outlineLvl w:val="0"/>
    </w:pPr>
    <w:rPr>
      <w:rFonts w:cs="Calibri"/>
      <w:b/>
      <w:bCs/>
      <w:sz w:val="26"/>
      <w:szCs w:val="26"/>
    </w:rPr>
  </w:style>
  <w:style w:type="paragraph" w:styleId="1121" w:customStyle="1">
    <w:name w:val="Колонтитул1"/>
    <w:basedOn w:val="802"/>
    <w:link w:val="1023"/>
    <w:uiPriority w:val="99"/>
    <w:pPr>
      <w:spacing w:line="240" w:lineRule="atLeast"/>
      <w:shd w:val="clear" w:color="auto" w:fill="ffffff"/>
      <w:widowControl w:val="off"/>
    </w:pPr>
    <w:rPr>
      <w:rFonts w:cs="Calibri"/>
      <w:b/>
      <w:bCs/>
      <w:sz w:val="20"/>
      <w:szCs w:val="20"/>
    </w:rPr>
  </w:style>
  <w:style w:type="paragraph" w:styleId="1122" w:customStyle="1">
    <w:name w:val="Основной текст1"/>
    <w:basedOn w:val="802"/>
    <w:link w:val="1026"/>
    <w:pPr>
      <w:jc w:val="both"/>
      <w:spacing w:line="317" w:lineRule="exact"/>
      <w:shd w:val="clear" w:color="auto" w:fill="ffffff"/>
      <w:widowControl w:val="off"/>
    </w:pPr>
    <w:rPr>
      <w:rFonts w:cs="Calibri"/>
      <w:sz w:val="20"/>
      <w:szCs w:val="20"/>
    </w:rPr>
  </w:style>
  <w:style w:type="paragraph" w:styleId="1123" w:customStyle="1">
    <w:name w:val="Подпись к картинке"/>
    <w:basedOn w:val="802"/>
    <w:link w:val="1027"/>
    <w:uiPriority w:val="99"/>
    <w:pPr>
      <w:spacing w:line="240" w:lineRule="atLeast"/>
      <w:shd w:val="clear" w:color="auto" w:fill="ffffff"/>
      <w:widowControl w:val="off"/>
    </w:pPr>
    <w:rPr>
      <w:rFonts w:cs="Calibri"/>
      <w:sz w:val="20"/>
      <w:szCs w:val="20"/>
    </w:rPr>
  </w:style>
  <w:style w:type="paragraph" w:styleId="1124" w:customStyle="1">
    <w:name w:val="Заголовок №2"/>
    <w:basedOn w:val="802"/>
    <w:link w:val="1028"/>
    <w:uiPriority w:val="99"/>
    <w:pPr>
      <w:jc w:val="both"/>
      <w:spacing w:after="240" w:line="274" w:lineRule="exact"/>
      <w:shd w:val="clear" w:color="auto" w:fill="ffffff"/>
      <w:widowControl w:val="off"/>
      <w:outlineLvl w:val="1"/>
    </w:pPr>
    <w:rPr>
      <w:rFonts w:cs="Calibri"/>
      <w:b/>
      <w:bCs/>
      <w:sz w:val="20"/>
      <w:szCs w:val="20"/>
    </w:rPr>
  </w:style>
  <w:style w:type="paragraph" w:styleId="1125" w:customStyle="1">
    <w:name w:val="Основной текст (3)"/>
    <w:basedOn w:val="802"/>
    <w:link w:val="1029"/>
    <w:uiPriority w:val="99"/>
    <w:pPr>
      <w:spacing w:after="300" w:line="240" w:lineRule="atLeast"/>
      <w:shd w:val="clear" w:color="auto" w:fill="ffffff"/>
      <w:widowControl w:val="off"/>
    </w:pPr>
    <w:rPr>
      <w:rFonts w:cs="Calibri"/>
      <w:b/>
      <w:bCs/>
      <w:sz w:val="20"/>
      <w:szCs w:val="20"/>
    </w:rPr>
  </w:style>
  <w:style w:type="paragraph" w:styleId="1126" w:customStyle="1">
    <w:name w:val="Подпись к таблице"/>
    <w:basedOn w:val="802"/>
    <w:link w:val="1031"/>
    <w:uiPriority w:val="99"/>
    <w:pPr>
      <w:jc w:val="right"/>
      <w:spacing w:line="317" w:lineRule="exact"/>
      <w:shd w:val="clear" w:color="auto" w:fill="ffffff"/>
      <w:widowControl w:val="off"/>
    </w:pPr>
    <w:rPr>
      <w:rFonts w:cs="Calibri"/>
      <w:b/>
      <w:bCs/>
      <w:sz w:val="20"/>
      <w:szCs w:val="20"/>
    </w:rPr>
  </w:style>
  <w:style w:type="paragraph" w:styleId="1127" w:customStyle="1">
    <w:name w:val="Подпись к картинке (2)"/>
    <w:basedOn w:val="802"/>
    <w:link w:val="1032"/>
    <w:uiPriority w:val="99"/>
    <w:pPr>
      <w:spacing w:line="240" w:lineRule="atLeast"/>
      <w:shd w:val="clear" w:color="auto" w:fill="ffffff"/>
      <w:widowControl w:val="off"/>
    </w:pPr>
    <w:rPr>
      <w:rFonts w:ascii="Calibri" w:hAnsi="Calibri" w:cs="Calibri"/>
      <w:b/>
      <w:bCs/>
      <w:spacing w:val="2"/>
      <w:sz w:val="21"/>
      <w:szCs w:val="21"/>
    </w:rPr>
  </w:style>
  <w:style w:type="paragraph" w:styleId="1128" w:customStyle="1">
    <w:name w:val="Основной текст (4)"/>
    <w:basedOn w:val="802"/>
    <w:link w:val="1033"/>
    <w:uiPriority w:val="99"/>
    <w:pPr>
      <w:jc w:val="both"/>
      <w:spacing w:line="240" w:lineRule="atLeast"/>
      <w:shd w:val="clear" w:color="auto" w:fill="ffffff"/>
      <w:widowControl w:val="off"/>
    </w:pPr>
    <w:rPr>
      <w:rFonts w:ascii="Franklin Gothic Heavy" w:hAnsi="Franklin Gothic Heavy" w:cs="Franklin Gothic Heavy"/>
      <w:spacing w:val="-4"/>
      <w:sz w:val="10"/>
      <w:szCs w:val="10"/>
      <w:lang w:val="en-US"/>
    </w:rPr>
  </w:style>
  <w:style w:type="paragraph" w:styleId="1129" w:customStyle="1">
    <w:name w:val="Основной текст (5)"/>
    <w:basedOn w:val="802"/>
    <w:link w:val="1055"/>
    <w:uiPriority w:val="99"/>
    <w:pPr>
      <w:spacing w:line="240" w:lineRule="atLeast"/>
      <w:shd w:val="clear" w:color="auto" w:fill="ffffff"/>
      <w:widowControl w:val="off"/>
    </w:pPr>
    <w:rPr>
      <w:rFonts w:ascii="Arial Unicode MS" w:hAnsi="Arial Unicode MS" w:cs="Arial Unicode MS" w:eastAsia="Arial Unicode MS"/>
      <w:sz w:val="14"/>
      <w:szCs w:val="14"/>
    </w:rPr>
  </w:style>
  <w:style w:type="paragraph" w:styleId="1130" w:customStyle="1">
    <w:name w:val="Подпись к картинке (3)"/>
    <w:basedOn w:val="802"/>
    <w:link w:val="1039"/>
    <w:uiPriority w:val="99"/>
    <w:pPr>
      <w:spacing w:line="240" w:lineRule="atLeast"/>
      <w:shd w:val="clear" w:color="auto" w:fill="ffffff"/>
      <w:widowControl w:val="off"/>
    </w:pPr>
    <w:rPr>
      <w:rFonts w:ascii="Arial Unicode MS" w:hAnsi="Arial Unicode MS" w:cs="Arial Unicode MS" w:eastAsia="Arial Unicode MS"/>
      <w:spacing w:val="1"/>
      <w:sz w:val="12"/>
      <w:szCs w:val="12"/>
    </w:rPr>
  </w:style>
  <w:style w:type="paragraph" w:styleId="1131" w:customStyle="1">
    <w:name w:val="Подпись к картинке (4)"/>
    <w:basedOn w:val="802"/>
    <w:link w:val="1041"/>
    <w:uiPriority w:val="99"/>
    <w:pPr>
      <w:spacing w:line="240" w:lineRule="atLeast"/>
      <w:shd w:val="clear" w:color="auto" w:fill="ffffff"/>
      <w:widowControl w:val="off"/>
    </w:pPr>
    <w:rPr>
      <w:rFonts w:cs="Calibri"/>
      <w:b/>
      <w:bCs/>
      <w:spacing w:val="3"/>
      <w:sz w:val="15"/>
      <w:szCs w:val="15"/>
    </w:rPr>
  </w:style>
  <w:style w:type="paragraph" w:styleId="1132" w:customStyle="1">
    <w:name w:val="Подпись к картинке (5)"/>
    <w:basedOn w:val="802"/>
    <w:link w:val="1043"/>
    <w:uiPriority w:val="99"/>
    <w:pPr>
      <w:spacing w:line="240" w:lineRule="atLeast"/>
      <w:shd w:val="clear" w:color="auto" w:fill="ffffff"/>
      <w:widowControl w:val="off"/>
    </w:pPr>
    <w:rPr>
      <w:rFonts w:ascii="Calibri" w:hAnsi="Calibri" w:cs="Calibri"/>
      <w:b/>
      <w:bCs/>
      <w:spacing w:val="3"/>
      <w:sz w:val="19"/>
      <w:szCs w:val="19"/>
    </w:rPr>
  </w:style>
  <w:style w:type="paragraph" w:styleId="1133" w:customStyle="1">
    <w:name w:val="Основной текст (7)"/>
    <w:basedOn w:val="802"/>
    <w:link w:val="1047"/>
    <w:uiPriority w:val="99"/>
    <w:pPr>
      <w:jc w:val="both"/>
      <w:spacing w:line="240" w:lineRule="atLeast"/>
      <w:shd w:val="clear" w:color="auto" w:fill="ffffff"/>
      <w:widowControl w:val="off"/>
    </w:pPr>
    <w:rPr>
      <w:rFonts w:ascii="Calibri" w:hAnsi="Calibri" w:cs="Calibri"/>
      <w:b/>
      <w:bCs/>
      <w:sz w:val="13"/>
      <w:szCs w:val="13"/>
    </w:rPr>
  </w:style>
  <w:style w:type="paragraph" w:styleId="1134" w:customStyle="1">
    <w:name w:val="Основной текст (9)"/>
    <w:basedOn w:val="802"/>
    <w:link w:val="1053"/>
    <w:uiPriority w:val="99"/>
    <w:pPr>
      <w:ind w:hanging="160"/>
      <w:spacing w:after="360" w:line="226" w:lineRule="exact"/>
      <w:shd w:val="clear" w:color="auto" w:fill="ffffff"/>
      <w:widowControl w:val="off"/>
    </w:pPr>
    <w:rPr>
      <w:rFonts w:cs="Calibri"/>
      <w:b/>
      <w:bCs/>
      <w:spacing w:val="3"/>
      <w:sz w:val="15"/>
      <w:szCs w:val="15"/>
    </w:rPr>
  </w:style>
  <w:style w:type="paragraph" w:styleId="1135" w:customStyle="1">
    <w:name w:val="Подпись к таблице (2)1"/>
    <w:basedOn w:val="802"/>
    <w:link w:val="1054"/>
    <w:uiPriority w:val="99"/>
    <w:pPr>
      <w:spacing w:line="581" w:lineRule="exact"/>
      <w:shd w:val="clear" w:color="auto" w:fill="ffffff"/>
      <w:widowControl w:val="off"/>
    </w:pPr>
    <w:rPr>
      <w:rFonts w:ascii="Arial Unicode MS" w:hAnsi="Arial Unicode MS" w:cs="Arial Unicode MS" w:eastAsia="Arial Unicode MS"/>
      <w:sz w:val="14"/>
      <w:szCs w:val="14"/>
    </w:rPr>
  </w:style>
  <w:style w:type="paragraph" w:styleId="1136" w:customStyle="1">
    <w:name w:val="Подпись к картинке (6)"/>
    <w:basedOn w:val="802"/>
    <w:link w:val="1057"/>
    <w:uiPriority w:val="99"/>
    <w:pPr>
      <w:spacing w:before="300" w:line="240" w:lineRule="atLeast"/>
      <w:shd w:val="clear" w:color="auto" w:fill="ffffff"/>
      <w:widowControl w:val="off"/>
    </w:pPr>
    <w:rPr>
      <w:rFonts w:cs="Calibri"/>
      <w:spacing w:val="1"/>
      <w:sz w:val="16"/>
      <w:szCs w:val="16"/>
    </w:rPr>
  </w:style>
  <w:style w:type="paragraph" w:styleId="1137" w:customStyle="1">
    <w:name w:val="Подпись к картинке (7)"/>
    <w:basedOn w:val="802"/>
    <w:link w:val="1059"/>
    <w:uiPriority w:val="99"/>
    <w:pPr>
      <w:spacing w:line="240" w:lineRule="atLeast"/>
      <w:shd w:val="clear" w:color="auto" w:fill="ffffff"/>
      <w:widowControl w:val="off"/>
    </w:pPr>
    <w:rPr>
      <w:rFonts w:cs="Calibri"/>
      <w:i/>
      <w:iCs/>
      <w:spacing w:val="-18"/>
      <w:sz w:val="21"/>
      <w:szCs w:val="21"/>
    </w:rPr>
  </w:style>
  <w:style w:type="paragraph" w:styleId="1138" w:customStyle="1">
    <w:name w:val="Основной текст (10)"/>
    <w:basedOn w:val="802"/>
    <w:link w:val="1061"/>
    <w:uiPriority w:val="99"/>
    <w:pPr>
      <w:spacing w:line="240" w:lineRule="atLeast"/>
      <w:shd w:val="clear" w:color="auto" w:fill="ffffff"/>
      <w:widowControl w:val="off"/>
    </w:pPr>
    <w:rPr>
      <w:rFonts w:cs="Calibri"/>
      <w:i/>
      <w:iCs/>
      <w:spacing w:val="7"/>
      <w:sz w:val="16"/>
      <w:szCs w:val="16"/>
    </w:rPr>
  </w:style>
  <w:style w:type="paragraph" w:styleId="1139" w:customStyle="1">
    <w:name w:val="Основной текст (11)"/>
    <w:basedOn w:val="802"/>
    <w:link w:val="1063"/>
    <w:uiPriority w:val="99"/>
    <w:pPr>
      <w:spacing w:line="240" w:lineRule="atLeast"/>
      <w:shd w:val="clear" w:color="auto" w:fill="ffffff"/>
      <w:widowControl w:val="off"/>
    </w:pPr>
    <w:rPr>
      <w:rFonts w:ascii="Gungsuh" w:hAnsi="Gungsuh" w:cs="Gungsuh" w:eastAsia="Gungsuh"/>
      <w:i/>
      <w:iCs/>
      <w:sz w:val="26"/>
      <w:szCs w:val="26"/>
    </w:rPr>
  </w:style>
  <w:style w:type="paragraph" w:styleId="1140" w:customStyle="1">
    <w:name w:val="Основной текст (12)"/>
    <w:basedOn w:val="802"/>
    <w:link w:val="1065"/>
    <w:uiPriority w:val="99"/>
    <w:pPr>
      <w:spacing w:line="240" w:lineRule="atLeast"/>
      <w:shd w:val="clear" w:color="auto" w:fill="ffffff"/>
      <w:widowControl w:val="off"/>
    </w:pPr>
    <w:rPr>
      <w:rFonts w:cs="Calibri"/>
      <w:i/>
      <w:iCs/>
      <w:spacing w:val="-18"/>
      <w:sz w:val="21"/>
      <w:szCs w:val="21"/>
      <w:lang w:val="en-US"/>
    </w:rPr>
  </w:style>
  <w:style w:type="paragraph" w:styleId="1141" w:customStyle="1">
    <w:name w:val="Основной текст (13)"/>
    <w:basedOn w:val="802"/>
    <w:link w:val="1069"/>
    <w:uiPriority w:val="99"/>
    <w:pPr>
      <w:spacing w:line="240" w:lineRule="atLeast"/>
      <w:shd w:val="clear" w:color="auto" w:fill="ffffff"/>
      <w:widowControl w:val="off"/>
    </w:pPr>
    <w:rPr>
      <w:rFonts w:cs="Calibri"/>
      <w:i/>
      <w:iCs/>
      <w:spacing w:val="-28"/>
      <w:sz w:val="20"/>
      <w:szCs w:val="20"/>
    </w:rPr>
  </w:style>
  <w:style w:type="paragraph" w:styleId="1142" w:customStyle="1">
    <w:name w:val="Основной текст (14)"/>
    <w:basedOn w:val="802"/>
    <w:link w:val="1071"/>
    <w:uiPriority w:val="99"/>
    <w:pPr>
      <w:spacing w:line="240" w:lineRule="atLeast"/>
      <w:shd w:val="clear" w:color="auto" w:fill="ffffff"/>
      <w:widowControl w:val="off"/>
    </w:pPr>
    <w:rPr>
      <w:rFonts w:ascii="Calibri" w:hAnsi="Calibri" w:cs="Calibri"/>
      <w:sz w:val="20"/>
      <w:szCs w:val="20"/>
      <w:lang w:val="en-US"/>
    </w:rPr>
  </w:style>
  <w:style w:type="paragraph" w:styleId="1143" w:customStyle="1">
    <w:name w:val="Подпись к таблице (3)1"/>
    <w:basedOn w:val="802"/>
    <w:link w:val="1074"/>
    <w:uiPriority w:val="99"/>
    <w:pPr>
      <w:spacing w:line="240" w:lineRule="atLeast"/>
      <w:shd w:val="clear" w:color="auto" w:fill="ffffff"/>
      <w:widowControl w:val="off"/>
    </w:pPr>
    <w:rPr>
      <w:rFonts w:cs="Calibri"/>
      <w:sz w:val="20"/>
      <w:szCs w:val="20"/>
    </w:rPr>
  </w:style>
  <w:style w:type="paragraph" w:styleId="1144" w:customStyle="1">
    <w:name w:val="Основной текст (15)1"/>
    <w:basedOn w:val="802"/>
    <w:uiPriority w:val="99"/>
    <w:pPr>
      <w:jc w:val="both"/>
      <w:spacing w:before="180" w:line="254" w:lineRule="exact"/>
      <w:shd w:val="clear" w:color="auto" w:fill="ffffff"/>
      <w:widowControl w:val="off"/>
    </w:pPr>
    <w:rPr>
      <w:rFonts w:ascii="Arial Unicode MS" w:hAnsi="Arial Unicode MS" w:cs="Arial Unicode MS" w:eastAsia="Arial Unicode MS"/>
      <w:sz w:val="20"/>
      <w:szCs w:val="20"/>
    </w:rPr>
  </w:style>
  <w:style w:type="paragraph" w:styleId="1145" w:customStyle="1">
    <w:name w:val="Подпись к таблице (4)1"/>
    <w:basedOn w:val="802"/>
    <w:link w:val="1086"/>
    <w:uiPriority w:val="99"/>
    <w:pPr>
      <w:spacing w:line="240" w:lineRule="atLeast"/>
      <w:shd w:val="clear" w:color="auto" w:fill="ffffff"/>
      <w:widowControl w:val="off"/>
    </w:pPr>
    <w:rPr>
      <w:rFonts w:ascii="Arial Unicode MS" w:hAnsi="Arial Unicode MS" w:cs="Arial Unicode MS" w:eastAsia="Arial Unicode MS"/>
      <w:sz w:val="10"/>
      <w:szCs w:val="10"/>
    </w:rPr>
  </w:style>
  <w:style w:type="paragraph" w:styleId="1146" w:customStyle="1">
    <w:name w:val="Подпись к таблице (5)1"/>
    <w:basedOn w:val="802"/>
    <w:link w:val="1088"/>
    <w:uiPriority w:val="99"/>
    <w:pPr>
      <w:spacing w:line="240" w:lineRule="atLeast"/>
      <w:shd w:val="clear" w:color="auto" w:fill="ffffff"/>
      <w:widowControl w:val="off"/>
    </w:pPr>
    <w:rPr>
      <w:rFonts w:cs="Calibri"/>
      <w:sz w:val="16"/>
      <w:szCs w:val="16"/>
    </w:rPr>
  </w:style>
  <w:style w:type="paragraph" w:styleId="1147" w:customStyle="1">
    <w:name w:val="Подпись к таблице (6)1"/>
    <w:basedOn w:val="802"/>
    <w:link w:val="1092"/>
    <w:uiPriority w:val="99"/>
    <w:pPr>
      <w:spacing w:line="240" w:lineRule="atLeast"/>
      <w:shd w:val="clear" w:color="auto" w:fill="ffffff"/>
      <w:widowControl w:val="off"/>
    </w:pPr>
    <w:rPr>
      <w:rFonts w:cs="Calibri"/>
      <w:b/>
      <w:bCs/>
      <w:sz w:val="17"/>
      <w:szCs w:val="17"/>
    </w:rPr>
  </w:style>
  <w:style w:type="paragraph" w:styleId="1148" w:customStyle="1">
    <w:name w:val="Подпись к таблице (7)1"/>
    <w:basedOn w:val="802"/>
    <w:link w:val="1096"/>
    <w:uiPriority w:val="99"/>
    <w:pPr>
      <w:spacing w:line="240" w:lineRule="atLeast"/>
      <w:shd w:val="clear" w:color="auto" w:fill="ffffff"/>
      <w:widowControl w:val="off"/>
    </w:pPr>
    <w:rPr>
      <w:rFonts w:cs="Calibri"/>
      <w:b/>
      <w:bCs/>
      <w:sz w:val="17"/>
      <w:szCs w:val="17"/>
      <w:lang w:val="en-US"/>
    </w:rPr>
  </w:style>
  <w:style w:type="paragraph" w:styleId="1149" w:customStyle="1">
    <w:name w:val="Подпись к таблице (8)1"/>
    <w:basedOn w:val="802"/>
    <w:link w:val="1098"/>
    <w:uiPriority w:val="99"/>
    <w:pPr>
      <w:spacing w:line="240" w:lineRule="atLeast"/>
      <w:shd w:val="clear" w:color="auto" w:fill="ffffff"/>
      <w:widowControl w:val="off"/>
    </w:pPr>
    <w:rPr>
      <w:rFonts w:cs="Calibri"/>
      <w:sz w:val="10"/>
      <w:szCs w:val="10"/>
    </w:rPr>
  </w:style>
  <w:style w:type="paragraph" w:styleId="1150" w:customStyle="1">
    <w:name w:val="Основной текст (16)1"/>
    <w:basedOn w:val="802"/>
    <w:link w:val="1107"/>
    <w:uiPriority w:val="99"/>
    <w:pPr>
      <w:spacing w:before="120" w:line="336" w:lineRule="exact"/>
      <w:shd w:val="clear" w:color="auto" w:fill="ffffff"/>
      <w:widowControl w:val="off"/>
    </w:pPr>
    <w:rPr>
      <w:rFonts w:ascii="Arial Unicode MS" w:hAnsi="Arial Unicode MS" w:cs="Arial Unicode MS" w:eastAsia="Arial Unicode MS"/>
      <w:sz w:val="15"/>
      <w:szCs w:val="15"/>
    </w:rPr>
  </w:style>
  <w:style w:type="paragraph" w:styleId="1151" w:customStyle="1">
    <w:name w:val="Основной текст (17)1"/>
    <w:basedOn w:val="802"/>
    <w:link w:val="1109"/>
    <w:uiPriority w:val="99"/>
    <w:pPr>
      <w:jc w:val="center"/>
      <w:spacing w:after="360" w:line="182" w:lineRule="exact"/>
      <w:shd w:val="clear" w:color="auto" w:fill="ffffff"/>
      <w:widowControl w:val="off"/>
    </w:pPr>
    <w:rPr>
      <w:rFonts w:ascii="Arial Unicode MS" w:hAnsi="Arial Unicode MS" w:cs="Arial Unicode MS" w:eastAsia="Arial Unicode MS"/>
      <w:i/>
      <w:iCs/>
      <w:spacing w:val="-10"/>
      <w:sz w:val="15"/>
      <w:szCs w:val="15"/>
    </w:rPr>
  </w:style>
  <w:style w:type="paragraph" w:styleId="1152" w:customStyle="1">
    <w:name w:val="Основной текст (18)"/>
    <w:basedOn w:val="802"/>
    <w:link w:val="1112"/>
    <w:uiPriority w:val="99"/>
    <w:pPr>
      <w:ind w:firstLine="700"/>
      <w:jc w:val="both"/>
      <w:spacing w:line="317" w:lineRule="exact"/>
      <w:shd w:val="clear" w:color="auto" w:fill="ffffff"/>
      <w:widowControl w:val="off"/>
    </w:pPr>
    <w:rPr>
      <w:rFonts w:cs="Calibri"/>
      <w:i/>
      <w:iCs/>
      <w:sz w:val="20"/>
      <w:szCs w:val="20"/>
    </w:rPr>
  </w:style>
  <w:style w:type="paragraph" w:styleId="1153" w:customStyle="1">
    <w:name w:val="Основной текст4"/>
    <w:basedOn w:val="802"/>
    <w:qFormat/>
    <w:pPr>
      <w:ind w:hanging="360"/>
      <w:jc w:val="both"/>
      <w:spacing w:line="312" w:lineRule="exact"/>
      <w:shd w:val="clear" w:color="auto" w:fill="ffffff"/>
      <w:widowControl w:val="off"/>
    </w:pPr>
    <w:rPr>
      <w:color w:val="000000"/>
      <w:sz w:val="22"/>
      <w:szCs w:val="22"/>
    </w:rPr>
  </w:style>
  <w:style w:type="character" w:styleId="1154" w:customStyle="1">
    <w:name w:val="Font Style106"/>
    <w:uiPriority w:val="99"/>
    <w:rPr>
      <w:rFonts w:ascii="Times New Roman" w:hAnsi="Times New Roman" w:cs="Times New Roman"/>
      <w:sz w:val="22"/>
      <w:szCs w:val="22"/>
    </w:rPr>
  </w:style>
  <w:style w:type="numbering" w:styleId="1155" w:customStyle="1">
    <w:name w:val="Нет списка3"/>
    <w:next w:val="814"/>
    <w:uiPriority w:val="99"/>
    <w:semiHidden/>
    <w:unhideWhenUsed/>
  </w:style>
  <w:style w:type="paragraph" w:styleId="1156" w:customStyle="1">
    <w:name w:val="Style11"/>
    <w:basedOn w:val="802"/>
    <w:uiPriority w:val="99"/>
    <w:pPr>
      <w:jc w:val="center"/>
      <w:spacing w:line="230" w:lineRule="exact"/>
      <w:widowControl w:val="off"/>
    </w:pPr>
  </w:style>
  <w:style w:type="paragraph" w:styleId="1157" w:customStyle="1">
    <w:name w:val="Style13"/>
    <w:basedOn w:val="802"/>
    <w:uiPriority w:val="99"/>
    <w:pPr>
      <w:jc w:val="center"/>
      <w:spacing w:line="228" w:lineRule="exact"/>
      <w:widowControl w:val="off"/>
    </w:pPr>
  </w:style>
  <w:style w:type="character" w:styleId="1158" w:customStyle="1">
    <w:name w:val="Font Style102"/>
    <w:uiPriority w:val="99"/>
    <w:rPr>
      <w:rFonts w:ascii="Times New Roman" w:hAnsi="Times New Roman" w:cs="Times New Roman"/>
      <w:sz w:val="18"/>
      <w:szCs w:val="18"/>
    </w:rPr>
  </w:style>
  <w:style w:type="character" w:styleId="1159" w:customStyle="1">
    <w:name w:val="Font Style103"/>
    <w:uiPriority w:val="99"/>
    <w:rPr>
      <w:rFonts w:ascii="Times New Roman" w:hAnsi="Times New Roman" w:cs="Times New Roman"/>
      <w:b/>
      <w:bCs/>
      <w:sz w:val="18"/>
      <w:szCs w:val="18"/>
    </w:rPr>
  </w:style>
  <w:style w:type="paragraph" w:styleId="1160" w:customStyle="1">
    <w:name w:val="Style16"/>
    <w:basedOn w:val="802"/>
    <w:uiPriority w:val="99"/>
    <w:pPr>
      <w:ind w:firstLine="710"/>
      <w:jc w:val="both"/>
      <w:spacing w:line="317" w:lineRule="exact"/>
      <w:widowControl w:val="off"/>
    </w:pPr>
  </w:style>
  <w:style w:type="paragraph" w:styleId="1161" w:customStyle="1">
    <w:name w:val="Style81"/>
    <w:basedOn w:val="802"/>
    <w:uiPriority w:val="99"/>
    <w:pPr>
      <w:ind w:hanging="106"/>
      <w:spacing w:line="230" w:lineRule="exact"/>
      <w:widowControl w:val="off"/>
    </w:pPr>
  </w:style>
  <w:style w:type="paragraph" w:styleId="1162" w:customStyle="1">
    <w:name w:val="Style48"/>
    <w:basedOn w:val="802"/>
    <w:uiPriority w:val="99"/>
    <w:pPr>
      <w:ind w:firstLine="715"/>
      <w:jc w:val="both"/>
      <w:spacing w:line="312" w:lineRule="exact"/>
      <w:widowControl w:val="off"/>
    </w:pPr>
  </w:style>
  <w:style w:type="character" w:styleId="1163" w:customStyle="1">
    <w:name w:val="Font Style95"/>
    <w:basedOn w:val="812"/>
    <w:uiPriority w:val="99"/>
    <w:rPr>
      <w:rFonts w:ascii="Times New Roman" w:hAnsi="Times New Roman" w:cs="Times New Roman"/>
      <w:sz w:val="24"/>
      <w:szCs w:val="24"/>
    </w:rPr>
  </w:style>
  <w:style w:type="paragraph" w:styleId="1164" w:customStyle="1">
    <w:name w:val="xl65"/>
    <w:basedOn w:val="802"/>
    <w:pPr>
      <w:jc w:val="center"/>
      <w:spacing w:before="100" w:beforeAutospacing="1" w:after="100" w:afterAutospacing="1"/>
    </w:pPr>
  </w:style>
  <w:style w:type="paragraph" w:styleId="1165" w:customStyle="1">
    <w:name w:val="xl66"/>
    <w:basedOn w:val="802"/>
    <w:pPr>
      <w:jc w:val="center"/>
      <w:spacing w:before="100" w:beforeAutospacing="1" w:after="100" w:afterAutospacing="1"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</w:pPr>
  </w:style>
  <w:style w:type="numbering" w:styleId="1166" w:customStyle="1">
    <w:name w:val="Нет списка4"/>
    <w:next w:val="814"/>
    <w:uiPriority w:val="99"/>
    <w:semiHidden/>
    <w:unhideWhenUsed/>
  </w:style>
  <w:style w:type="paragraph" w:styleId="1167" w:customStyle="1">
    <w:name w:val="xl125"/>
    <w:basedOn w:val="802"/>
    <w:pPr>
      <w:ind w:firstLine="100"/>
      <w:spacing w:before="100" w:beforeAutospacing="1" w:after="100" w:afterAutospacing="1"/>
      <w:shd w:val="thinReverseDiagStripe" w:color="eaeaea" w:fill="auto"/>
      <w:pBdr>
        <w:top w:val="single" w:color="C0C0C0" w:sz="4" w:space="0"/>
        <w:bottom w:val="single" w:color="C0C0C0" w:sz="4" w:space="0"/>
      </w:pBdr>
    </w:pPr>
    <w:rPr>
      <w:b/>
      <w:bCs/>
      <w:color w:val="333399"/>
    </w:rPr>
  </w:style>
  <w:style w:type="paragraph" w:styleId="1168" w:customStyle="1">
    <w:name w:val="xl126"/>
    <w:basedOn w:val="802"/>
    <w:pPr>
      <w:ind w:firstLine="100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9"/>
        <w:bottom w:val="single" w:color="C0C0C0" w:sz="4" w:space="0"/>
        <w:right w:val="single" w:color="C0C0C0" w:sz="4" w:space="0"/>
      </w:pBdr>
    </w:pPr>
  </w:style>
  <w:style w:type="paragraph" w:styleId="1169" w:customStyle="1">
    <w:name w:val="xl127"/>
    <w:basedOn w:val="802"/>
    <w:pPr>
      <w:jc w:val="center"/>
      <w:spacing w:before="100" w:beforeAutospacing="1" w:after="100" w:afterAutospacing="1"/>
      <w:shd w:val="clear" w:color="000000" w:fill="ffffff"/>
      <w:pBdr>
        <w:top w:val="single" w:color="C0C0C0" w:sz="4" w:space="0"/>
        <w:left w:val="single" w:color="C0C0C0" w:sz="4" w:space="0"/>
        <w:bottom w:val="single" w:color="C0C0C0" w:sz="4" w:space="0"/>
        <w:right w:val="single" w:color="C0C0C0" w:sz="4" w:space="0"/>
      </w:pBdr>
    </w:pPr>
  </w:style>
  <w:style w:type="paragraph" w:styleId="1170" w:customStyle="1">
    <w:name w:val="xl128"/>
    <w:basedOn w:val="802"/>
    <w:pPr>
      <w:jc w:val="right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</w:pBdr>
    </w:pPr>
  </w:style>
  <w:style w:type="paragraph" w:styleId="1171" w:customStyle="1">
    <w:name w:val="xl129"/>
    <w:basedOn w:val="802"/>
    <w:pPr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  <w:bottom w:val="single" w:color="C0C0C0" w:sz="4" w:space="0"/>
      </w:pBdr>
    </w:pPr>
  </w:style>
  <w:style w:type="paragraph" w:styleId="1172" w:customStyle="1">
    <w:name w:val="xl130"/>
    <w:basedOn w:val="802"/>
    <w:pPr>
      <w:jc w:val="right"/>
      <w:spacing w:before="100" w:beforeAutospacing="1" w:after="100" w:afterAutospacing="1"/>
      <w:pBdr>
        <w:top w:val="single" w:color="C0C0C0" w:sz="4" w:space="0"/>
        <w:left w:val="single" w:color="C0C0C0" w:sz="4" w:space="0"/>
        <w:bottom w:val="single" w:color="C0C0C0" w:sz="4" w:space="0"/>
      </w:pBdr>
    </w:pPr>
    <w:rPr>
      <w:color w:val="FFFFFF"/>
    </w:rPr>
  </w:style>
  <w:style w:type="paragraph" w:styleId="1173" w:customStyle="1">
    <w:name w:val="xl131"/>
    <w:basedOn w:val="802"/>
    <w:pPr>
      <w:jc w:val="center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  <w:bottom w:val="single" w:color="C0C0C0" w:sz="4" w:space="0"/>
        <w:right w:val="single" w:color="C0C0C0" w:sz="4" w:space="0"/>
      </w:pBdr>
    </w:pPr>
  </w:style>
  <w:style w:type="paragraph" w:styleId="1174" w:customStyle="1">
    <w:name w:val="xl132"/>
    <w:basedOn w:val="802"/>
    <w:pPr>
      <w:jc w:val="right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  <w:bottom w:val="single" w:color="C0C0C0" w:sz="4" w:space="0"/>
      </w:pBdr>
    </w:pPr>
  </w:style>
  <w:style w:type="paragraph" w:styleId="1175" w:customStyle="1">
    <w:name w:val="xl133"/>
    <w:basedOn w:val="802"/>
    <w:pPr>
      <w:jc w:val="right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</w:pBdr>
    </w:pPr>
  </w:style>
  <w:style w:type="paragraph" w:styleId="1176" w:customStyle="1">
    <w:name w:val="xl134"/>
    <w:basedOn w:val="802"/>
    <w:pPr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  <w:bottom w:val="single" w:color="C0C0C0" w:sz="4" w:space="0"/>
        <w:right w:val="single" w:color="C0C0C0" w:sz="4" w:space="0"/>
      </w:pBdr>
    </w:pPr>
    <w:rPr>
      <w:b/>
      <w:bCs/>
      <w:color w:val="0000FF"/>
      <w:u w:val="single"/>
    </w:rPr>
  </w:style>
  <w:style w:type="paragraph" w:styleId="1177" w:customStyle="1">
    <w:name w:val="xl135"/>
    <w:basedOn w:val="802"/>
    <w:pPr>
      <w:jc w:val="center"/>
      <w:spacing w:before="100" w:beforeAutospacing="1" w:after="100" w:afterAutospacing="1"/>
      <w:pBdr>
        <w:top w:val="single" w:color="969696" w:sz="4" w:space="0"/>
        <w:left w:val="single" w:color="969696" w:sz="4" w:space="0"/>
        <w:bottom w:val="single" w:color="969696" w:sz="6" w:space="0"/>
        <w:right w:val="single" w:color="969696" w:sz="4" w:space="0"/>
      </w:pBdr>
    </w:pPr>
  </w:style>
  <w:style w:type="paragraph" w:styleId="1178" w:customStyle="1">
    <w:name w:val="xl136"/>
    <w:basedOn w:val="802"/>
    <w:pPr>
      <w:jc w:val="center"/>
      <w:spacing w:before="100" w:beforeAutospacing="1" w:after="100" w:afterAutospacing="1"/>
      <w:pBdr>
        <w:top w:val="single" w:color="969696" w:sz="4" w:space="0"/>
        <w:left w:val="single" w:color="969696" w:sz="4" w:space="0"/>
        <w:bottom w:val="single" w:color="969696" w:sz="6" w:space="0"/>
      </w:pBdr>
    </w:pPr>
  </w:style>
  <w:style w:type="paragraph" w:styleId="1179" w:customStyle="1">
    <w:name w:val="xl137"/>
    <w:basedOn w:val="802"/>
    <w:pPr>
      <w:jc w:val="center"/>
      <w:spacing w:before="100" w:beforeAutospacing="1" w:after="100" w:afterAutospacing="1"/>
      <w:shd w:val="clear" w:color="000000" w:fill="ffffff"/>
      <w:pBdr>
        <w:top w:val="single" w:color="C0C0C0" w:sz="4" w:space="0"/>
        <w:left w:val="single" w:color="C0C0C0" w:sz="4" w:space="0"/>
        <w:bottom w:val="single" w:color="C0C0C0" w:sz="4" w:space="0"/>
        <w:right w:val="single" w:color="C0C0C0" w:sz="4" w:space="0"/>
      </w:pBdr>
    </w:pPr>
  </w:style>
  <w:style w:type="paragraph" w:styleId="1180" w:customStyle="1">
    <w:name w:val="xl138"/>
    <w:basedOn w:val="802"/>
    <w:pPr>
      <w:jc w:val="right"/>
      <w:spacing w:before="100" w:beforeAutospacing="1" w:after="100" w:afterAutospacing="1"/>
      <w:shd w:val="clear" w:color="000000" w:fill="ccffcc"/>
      <w:pBdr>
        <w:top w:val="single" w:color="C0C0C0" w:sz="4" w:space="0"/>
        <w:left w:val="single" w:color="C0C0C0" w:sz="4" w:space="0"/>
        <w:bottom w:val="single" w:color="C0C0C0" w:sz="4" w:space="0"/>
      </w:pBdr>
    </w:pPr>
  </w:style>
  <w:style w:type="paragraph" w:styleId="1181" w:customStyle="1">
    <w:name w:val="xl139"/>
    <w:basedOn w:val="802"/>
    <w:pPr>
      <w:ind w:firstLine="100"/>
      <w:spacing w:before="100" w:beforeAutospacing="1" w:after="100" w:afterAutospacing="1"/>
      <w:pBdr>
        <w:top w:val="single" w:color="C0C0C0" w:sz="4" w:space="0"/>
        <w:left w:val="single" w:color="C0C0C0" w:sz="4" w:space="9"/>
        <w:bottom w:val="single" w:color="C0C0C0" w:sz="4" w:space="0"/>
        <w:right w:val="single" w:color="C0C0C0" w:sz="4" w:space="0"/>
      </w:pBdr>
    </w:pPr>
  </w:style>
  <w:style w:type="paragraph" w:styleId="1182" w:customStyle="1">
    <w:name w:val="xl140"/>
    <w:basedOn w:val="802"/>
    <w:pPr>
      <w:ind w:firstLine="200"/>
      <w:spacing w:before="100" w:beforeAutospacing="1" w:after="100" w:afterAutospacing="1"/>
      <w:pBdr>
        <w:top w:val="single" w:color="C0C0C0" w:sz="4" w:space="0"/>
        <w:left w:val="single" w:color="C0C0C0" w:sz="4" w:space="18"/>
        <w:bottom w:val="single" w:color="C0C0C0" w:sz="4" w:space="0"/>
        <w:right w:val="single" w:color="C0C0C0" w:sz="4" w:space="0"/>
      </w:pBdr>
    </w:pPr>
  </w:style>
  <w:style w:type="paragraph" w:styleId="1183" w:customStyle="1">
    <w:name w:val="xl141"/>
    <w:basedOn w:val="802"/>
    <w:pPr>
      <w:jc w:val="right"/>
      <w:spacing w:before="100" w:beforeAutospacing="1" w:after="100" w:afterAutospacing="1"/>
      <w:shd w:val="clear" w:color="000000" w:fill="ccffcc"/>
      <w:pBdr>
        <w:top w:val="single" w:color="C0C0C0" w:sz="4" w:space="0"/>
        <w:left w:val="single" w:color="C0C0C0" w:sz="4" w:space="0"/>
        <w:bottom w:val="single" w:color="C0C0C0" w:sz="4" w:space="0"/>
      </w:pBdr>
    </w:pPr>
  </w:style>
  <w:style w:type="paragraph" w:styleId="1184" w:customStyle="1">
    <w:name w:val="xl142"/>
    <w:basedOn w:val="802"/>
    <w:pPr>
      <w:ind w:firstLine="200"/>
      <w:spacing w:before="100" w:beforeAutospacing="1" w:after="100" w:afterAutospacing="1"/>
      <w:shd w:val="thinReverseDiagStripe" w:color="eaeaea" w:fill="auto"/>
      <w:pBdr>
        <w:top w:val="single" w:color="C0C0C0" w:sz="4" w:space="0"/>
        <w:bottom w:val="single" w:color="C0C0C0" w:sz="4" w:space="0"/>
      </w:pBdr>
    </w:pPr>
    <w:rPr>
      <w:b/>
      <w:bCs/>
      <w:color w:val="333399"/>
    </w:rPr>
  </w:style>
  <w:style w:type="paragraph" w:styleId="1185" w:customStyle="1">
    <w:name w:val="xl143"/>
    <w:basedOn w:val="802"/>
    <w:pPr>
      <w:jc w:val="right"/>
      <w:spacing w:before="100" w:beforeAutospacing="1" w:after="100" w:afterAutospacing="1"/>
      <w:shd w:val="thinReverseDiagStripe" w:color="eaeaea" w:fill="auto"/>
      <w:pBdr>
        <w:top w:val="single" w:color="C0C0C0" w:sz="4" w:space="0"/>
        <w:bottom w:val="single" w:color="C0C0C0" w:sz="4" w:space="0"/>
      </w:pBdr>
    </w:pPr>
    <w:rPr>
      <w:b/>
      <w:bCs/>
      <w:color w:val="333399"/>
    </w:rPr>
  </w:style>
  <w:style w:type="paragraph" w:styleId="1186" w:customStyle="1">
    <w:name w:val="xl144"/>
    <w:basedOn w:val="802"/>
    <w:pPr>
      <w:jc w:val="right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  <w:bottom w:val="single" w:color="C0C0C0" w:sz="4" w:space="0"/>
      </w:pBdr>
    </w:pPr>
  </w:style>
  <w:style w:type="paragraph" w:styleId="1187" w:customStyle="1">
    <w:name w:val="xl145"/>
    <w:basedOn w:val="802"/>
    <w:pPr>
      <w:ind w:firstLine="300"/>
      <w:spacing w:before="100" w:beforeAutospacing="1" w:after="100" w:afterAutospacing="1"/>
      <w:pBdr>
        <w:top w:val="single" w:color="C0C0C0" w:sz="4" w:space="0"/>
        <w:left w:val="single" w:color="C0C0C0" w:sz="4" w:space="27"/>
        <w:bottom w:val="single" w:color="C0C0C0" w:sz="4" w:space="0"/>
        <w:right w:val="single" w:color="C0C0C0" w:sz="4" w:space="0"/>
      </w:pBdr>
    </w:pPr>
  </w:style>
  <w:style w:type="paragraph" w:styleId="1188" w:customStyle="1">
    <w:name w:val="xl146"/>
    <w:basedOn w:val="802"/>
    <w:pPr>
      <w:ind w:firstLine="200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18"/>
        <w:bottom w:val="single" w:color="C0C0C0" w:sz="4" w:space="0"/>
        <w:right w:val="single" w:color="C0C0C0" w:sz="4" w:space="0"/>
      </w:pBdr>
    </w:pPr>
  </w:style>
  <w:style w:type="paragraph" w:styleId="1189" w:customStyle="1">
    <w:name w:val="xl147"/>
    <w:basedOn w:val="802"/>
    <w:pPr>
      <w:spacing w:before="100" w:beforeAutospacing="1" w:after="100" w:afterAutospacing="1"/>
      <w:shd w:val="clear" w:color="000000" w:fill="ffff99"/>
      <w:pBdr>
        <w:top w:val="single" w:color="C0C0C0" w:sz="4" w:space="0"/>
        <w:left w:val="single" w:color="C0C0C0" w:sz="4" w:space="0"/>
        <w:bottom w:val="single" w:color="C0C0C0" w:sz="4" w:space="0"/>
      </w:pBdr>
    </w:pPr>
  </w:style>
  <w:style w:type="numbering" w:styleId="1190" w:customStyle="1">
    <w:name w:val="Нет списка5"/>
    <w:next w:val="814"/>
    <w:uiPriority w:val="99"/>
    <w:semiHidden/>
    <w:unhideWhenUsed/>
  </w:style>
  <w:style w:type="numbering" w:styleId="1191" w:customStyle="1">
    <w:name w:val="Нет списка12"/>
    <w:next w:val="814"/>
    <w:uiPriority w:val="99"/>
    <w:semiHidden/>
    <w:unhideWhenUsed/>
  </w:style>
  <w:style w:type="table" w:styleId="1192" w:customStyle="1">
    <w:name w:val="Сетка таблицы12"/>
    <w:basedOn w:val="813"/>
    <w:next w:val="832"/>
    <w:uiPriority w:val="59"/>
    <w:rPr>
      <w:rFonts w:cs="Times New Roman" w:eastAsia="Calibr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193" w:customStyle="1">
    <w:name w:val="Сетка таблицы22"/>
    <w:basedOn w:val="813"/>
    <w:next w:val="832"/>
    <w:uiPriority w:val="59"/>
    <w:rPr>
      <w:rFonts w:cs="Times New Roman" w:eastAsia="Calibr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numbering" w:styleId="1194" w:customStyle="1">
    <w:name w:val="Нет списка21"/>
    <w:next w:val="814"/>
    <w:uiPriority w:val="99"/>
    <w:semiHidden/>
    <w:unhideWhenUsed/>
  </w:style>
  <w:style w:type="table" w:styleId="1195" w:customStyle="1">
    <w:name w:val="Сетка таблицы31"/>
    <w:basedOn w:val="813"/>
    <w:next w:val="832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numbering" w:styleId="1196" w:customStyle="1">
    <w:name w:val="Нет списка112"/>
    <w:next w:val="814"/>
    <w:uiPriority w:val="99"/>
    <w:semiHidden/>
    <w:unhideWhenUsed/>
  </w:style>
  <w:style w:type="table" w:styleId="1197" w:customStyle="1">
    <w:name w:val="Сетка таблицы111"/>
    <w:basedOn w:val="813"/>
    <w:next w:val="832"/>
    <w:uiPriority w:val="59"/>
    <w:rPr>
      <w:rFonts w:cs="Times New Roman" w:eastAsia="Calibr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198" w:customStyle="1">
    <w:name w:val="Сетка таблицы211"/>
    <w:basedOn w:val="813"/>
    <w:next w:val="832"/>
    <w:uiPriority w:val="59"/>
    <w:rPr>
      <w:rFonts w:cs="Times New Roman" w:eastAsia="Calibr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numbering" w:styleId="1199" w:customStyle="1">
    <w:name w:val="Нет списка6"/>
    <w:next w:val="814"/>
    <w:uiPriority w:val="99"/>
    <w:semiHidden/>
    <w:unhideWhenUsed/>
  </w:style>
  <w:style w:type="numbering" w:styleId="1200" w:customStyle="1">
    <w:name w:val="Нет списка13"/>
    <w:next w:val="814"/>
    <w:uiPriority w:val="99"/>
    <w:semiHidden/>
    <w:unhideWhenUsed/>
  </w:style>
  <w:style w:type="table" w:styleId="1201" w:customStyle="1">
    <w:name w:val="Сетка таблицы13"/>
    <w:basedOn w:val="813"/>
    <w:next w:val="832"/>
    <w:uiPriority w:val="59"/>
    <w:rPr>
      <w:rFonts w:cs="Times New Roman" w:eastAsia="Calibr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202" w:customStyle="1">
    <w:name w:val="Сетка таблицы23"/>
    <w:basedOn w:val="813"/>
    <w:next w:val="832"/>
    <w:uiPriority w:val="59"/>
    <w:rPr>
      <w:rFonts w:cs="Times New Roman" w:eastAsia="Calibr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numbering" w:styleId="1203" w:customStyle="1">
    <w:name w:val="Нет списка22"/>
    <w:next w:val="814"/>
    <w:uiPriority w:val="99"/>
    <w:semiHidden/>
    <w:unhideWhenUsed/>
  </w:style>
  <w:style w:type="table" w:styleId="1204" w:customStyle="1">
    <w:name w:val="Сетка таблицы32"/>
    <w:basedOn w:val="813"/>
    <w:next w:val="832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numbering" w:styleId="1205" w:customStyle="1">
    <w:name w:val="Нет списка113"/>
    <w:next w:val="814"/>
    <w:uiPriority w:val="99"/>
    <w:semiHidden/>
    <w:unhideWhenUsed/>
  </w:style>
  <w:style w:type="table" w:styleId="1206" w:customStyle="1">
    <w:name w:val="Сетка таблицы112"/>
    <w:basedOn w:val="813"/>
    <w:next w:val="832"/>
    <w:uiPriority w:val="59"/>
    <w:rPr>
      <w:rFonts w:cs="Times New Roman" w:eastAsia="Calibr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207" w:customStyle="1">
    <w:name w:val="Сетка таблицы212"/>
    <w:basedOn w:val="813"/>
    <w:next w:val="832"/>
    <w:uiPriority w:val="59"/>
    <w:rPr>
      <w:rFonts w:cs="Times New Roman" w:eastAsia="Calibr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208" w:customStyle="1">
    <w:name w:val="Сетка таблицы41"/>
    <w:basedOn w:val="813"/>
    <w:next w:val="832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209" w:customStyle="1">
    <w:name w:val="xl175"/>
    <w:basedOn w:val="802"/>
    <w:pPr>
      <w:spacing w:before="100" w:beforeAutospacing="1" w:after="100" w:afterAutospacing="1"/>
    </w:pPr>
  </w:style>
  <w:style w:type="paragraph" w:styleId="1210" w:customStyle="1">
    <w:name w:val="xl176"/>
    <w:basedOn w:val="802"/>
    <w:pPr>
      <w:jc w:val="center"/>
      <w:spacing w:before="100" w:beforeAutospacing="1" w:after="100" w:afterAutospacing="1"/>
      <w:shd w:val="clear" w:color="000000" w:fill="ffffff"/>
      <w:pBdr>
        <w:top w:val="single" w:color="969696" w:sz="4" w:space="0"/>
        <w:left w:val="single" w:color="969696" w:sz="4" w:space="0"/>
        <w:bottom w:val="single" w:color="969696" w:sz="6" w:space="0"/>
        <w:right w:val="single" w:color="969696" w:sz="4" w:space="0"/>
      </w:pBdr>
    </w:pPr>
  </w:style>
  <w:style w:type="paragraph" w:styleId="1211" w:customStyle="1">
    <w:name w:val="xl177"/>
    <w:basedOn w:val="802"/>
    <w:pPr>
      <w:jc w:val="center"/>
      <w:spacing w:before="100" w:beforeAutospacing="1" w:after="100" w:afterAutospacing="1"/>
      <w:shd w:val="clear" w:color="000000" w:fill="99ccff"/>
      <w:pBdr>
        <w:top w:val="single" w:color="C0C0C0" w:sz="4" w:space="0"/>
        <w:left w:val="single" w:color="C0C0C0" w:sz="4" w:space="0"/>
        <w:bottom w:val="single" w:color="C0C0C0" w:sz="4" w:space="0"/>
        <w:right w:val="single" w:color="C0C0C0" w:sz="4" w:space="0"/>
      </w:pBdr>
    </w:pPr>
  </w:style>
  <w:style w:type="paragraph" w:styleId="1212" w:customStyle="1">
    <w:name w:val="xl178"/>
    <w:basedOn w:val="802"/>
    <w:pPr>
      <w:jc w:val="center"/>
      <w:spacing w:before="100" w:beforeAutospacing="1" w:after="100" w:afterAutospacing="1"/>
      <w:shd w:val="clear" w:color="000000" w:fill="ffffff"/>
      <w:pBdr>
        <w:top w:val="single" w:color="C0C0C0" w:sz="4" w:space="0"/>
        <w:left w:val="single" w:color="C0C0C0" w:sz="4" w:space="0"/>
        <w:bottom w:val="single" w:color="C0C0C0" w:sz="4" w:space="0"/>
        <w:right w:val="single" w:color="C0C0C0" w:sz="4" w:space="0"/>
      </w:pBdr>
    </w:pPr>
  </w:style>
  <w:style w:type="paragraph" w:styleId="1213" w:customStyle="1">
    <w:name w:val="xl179"/>
    <w:basedOn w:val="802"/>
    <w:pPr>
      <w:jc w:val="center"/>
      <w:spacing w:before="100" w:beforeAutospacing="1" w:after="100" w:afterAutospacing="1"/>
      <w:shd w:val="clear" w:color="000000" w:fill="ffffff"/>
      <w:pBdr>
        <w:top w:val="single" w:color="969696" w:sz="6" w:space="0"/>
        <w:bottom w:val="single" w:color="C0C0C0" w:sz="4" w:space="0"/>
      </w:pBdr>
    </w:pPr>
    <w:rPr>
      <w:color w:val="969696"/>
    </w:rPr>
  </w:style>
  <w:style w:type="paragraph" w:styleId="1214" w:customStyle="1">
    <w:name w:val="xl180"/>
    <w:basedOn w:val="802"/>
    <w:pPr>
      <w:spacing w:before="100" w:beforeAutospacing="1" w:after="100" w:afterAutospacing="1"/>
      <w:pBdr>
        <w:top w:val="single" w:color="C0C0C0" w:sz="4" w:space="0"/>
        <w:left w:val="single" w:color="C0C0C0" w:sz="4" w:space="0"/>
        <w:bottom w:val="single" w:color="C0C0C0" w:sz="4" w:space="0"/>
        <w:right w:val="single" w:color="C0C0C0" w:sz="4" w:space="0"/>
      </w:pBdr>
    </w:pPr>
  </w:style>
  <w:style w:type="paragraph" w:styleId="1215" w:customStyle="1">
    <w:name w:val="xl181"/>
    <w:basedOn w:val="802"/>
    <w:pPr>
      <w:spacing w:before="100" w:beforeAutospacing="1" w:after="100" w:afterAutospacing="1"/>
      <w:shd w:val="thinReverseDiagStripe" w:color="eaeaea" w:fill="auto"/>
      <w:pBdr>
        <w:top w:val="single" w:color="C0C0C0" w:sz="4" w:space="0"/>
        <w:bottom w:val="single" w:color="C0C0C0" w:sz="4" w:space="0"/>
      </w:pBdr>
    </w:pPr>
    <w:rPr>
      <w:b/>
      <w:bCs/>
      <w:color w:val="333399"/>
    </w:rPr>
  </w:style>
  <w:style w:type="paragraph" w:styleId="1216" w:customStyle="1">
    <w:name w:val="xl182"/>
    <w:basedOn w:val="802"/>
    <w:pPr>
      <w:jc w:val="center"/>
      <w:spacing w:before="100" w:beforeAutospacing="1" w:after="100" w:afterAutospacing="1"/>
      <w:pBdr>
        <w:top w:val="single" w:color="C0C0C0" w:sz="4" w:space="0"/>
        <w:left w:val="single" w:color="C0C0C0" w:sz="4" w:space="0"/>
        <w:bottom w:val="single" w:color="C0C0C0" w:sz="4" w:space="0"/>
        <w:right w:val="single" w:color="C0C0C0" w:sz="4" w:space="0"/>
      </w:pBdr>
    </w:pPr>
  </w:style>
  <w:style w:type="paragraph" w:styleId="1217" w:customStyle="1">
    <w:name w:val="xl183"/>
    <w:basedOn w:val="802"/>
    <w:pPr>
      <w:jc w:val="center"/>
      <w:spacing w:before="100" w:beforeAutospacing="1" w:after="100" w:afterAutospacing="1"/>
      <w:shd w:val="thinReverseDiagStripe" w:color="eaeaea" w:fill="auto"/>
      <w:pBdr>
        <w:top w:val="single" w:color="C0C0C0" w:sz="4" w:space="0"/>
        <w:left w:val="single" w:color="C0C0C0" w:sz="4" w:space="0"/>
        <w:bottom w:val="single" w:color="C0C0C0" w:sz="4" w:space="0"/>
      </w:pBdr>
    </w:pPr>
    <w:rPr>
      <w:b/>
      <w:bCs/>
    </w:rPr>
  </w:style>
  <w:style w:type="paragraph" w:styleId="1218" w:customStyle="1">
    <w:name w:val="xl184"/>
    <w:basedOn w:val="802"/>
    <w:pPr>
      <w:ind w:firstLine="100"/>
      <w:spacing w:before="100" w:beforeAutospacing="1" w:after="100" w:afterAutospacing="1"/>
      <w:shd w:val="thinReverseDiagStripe" w:color="eaeaea" w:fill="auto"/>
      <w:pBdr>
        <w:top w:val="single" w:color="C0C0C0" w:sz="4" w:space="0"/>
        <w:bottom w:val="single" w:color="C0C0C0" w:sz="4" w:space="0"/>
      </w:pBdr>
    </w:pPr>
    <w:rPr>
      <w:b/>
      <w:bCs/>
      <w:color w:val="333399"/>
    </w:rPr>
  </w:style>
  <w:style w:type="paragraph" w:styleId="1219" w:customStyle="1">
    <w:name w:val="xl185"/>
    <w:basedOn w:val="802"/>
    <w:pPr>
      <w:ind w:firstLine="100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9"/>
        <w:bottom w:val="single" w:color="C0C0C0" w:sz="4" w:space="0"/>
        <w:right w:val="single" w:color="C0C0C0" w:sz="4" w:space="0"/>
      </w:pBdr>
    </w:pPr>
  </w:style>
  <w:style w:type="paragraph" w:styleId="1220" w:customStyle="1">
    <w:name w:val="xl186"/>
    <w:basedOn w:val="802"/>
    <w:pPr>
      <w:jc w:val="center"/>
      <w:spacing w:before="100" w:beforeAutospacing="1" w:after="100" w:afterAutospacing="1"/>
      <w:shd w:val="clear" w:color="000000" w:fill="ffffff"/>
      <w:pBdr>
        <w:top w:val="single" w:color="C0C0C0" w:sz="4" w:space="0"/>
        <w:left w:val="single" w:color="C0C0C0" w:sz="4" w:space="0"/>
        <w:bottom w:val="single" w:color="C0C0C0" w:sz="4" w:space="0"/>
        <w:right w:val="single" w:color="C0C0C0" w:sz="4" w:space="0"/>
      </w:pBdr>
    </w:pPr>
  </w:style>
  <w:style w:type="paragraph" w:styleId="1221" w:customStyle="1">
    <w:name w:val="xl187"/>
    <w:basedOn w:val="802"/>
    <w:pPr>
      <w:jc w:val="right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</w:pBdr>
    </w:pPr>
  </w:style>
  <w:style w:type="paragraph" w:styleId="1222" w:customStyle="1">
    <w:name w:val="xl188"/>
    <w:basedOn w:val="802"/>
    <w:pPr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  <w:bottom w:val="single" w:color="C0C0C0" w:sz="4" w:space="0"/>
      </w:pBdr>
    </w:pPr>
  </w:style>
  <w:style w:type="paragraph" w:styleId="1223" w:customStyle="1">
    <w:name w:val="xl189"/>
    <w:basedOn w:val="802"/>
    <w:pPr>
      <w:jc w:val="right"/>
      <w:spacing w:before="100" w:beforeAutospacing="1" w:after="100" w:afterAutospacing="1"/>
      <w:pBdr>
        <w:top w:val="single" w:color="C0C0C0" w:sz="4" w:space="0"/>
        <w:left w:val="single" w:color="C0C0C0" w:sz="4" w:space="0"/>
        <w:bottom w:val="single" w:color="C0C0C0" w:sz="4" w:space="0"/>
      </w:pBdr>
    </w:pPr>
    <w:rPr>
      <w:color w:val="FFFFFF"/>
    </w:rPr>
  </w:style>
  <w:style w:type="paragraph" w:styleId="1224" w:customStyle="1">
    <w:name w:val="xl190"/>
    <w:basedOn w:val="802"/>
    <w:pPr>
      <w:jc w:val="center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  <w:bottom w:val="single" w:color="C0C0C0" w:sz="4" w:space="0"/>
        <w:right w:val="single" w:color="C0C0C0" w:sz="4" w:space="0"/>
      </w:pBdr>
    </w:pPr>
  </w:style>
  <w:style w:type="paragraph" w:styleId="1225" w:customStyle="1">
    <w:name w:val="xl191"/>
    <w:basedOn w:val="802"/>
    <w:pPr>
      <w:jc w:val="right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  <w:bottom w:val="single" w:color="C0C0C0" w:sz="4" w:space="0"/>
      </w:pBdr>
    </w:pPr>
  </w:style>
  <w:style w:type="paragraph" w:styleId="1226" w:customStyle="1">
    <w:name w:val="xl192"/>
    <w:basedOn w:val="802"/>
    <w:pPr>
      <w:jc w:val="right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</w:pBdr>
    </w:pPr>
  </w:style>
  <w:style w:type="paragraph" w:styleId="1227" w:customStyle="1">
    <w:name w:val="xl193"/>
    <w:basedOn w:val="802"/>
    <w:pPr>
      <w:jc w:val="center"/>
      <w:spacing w:before="100" w:beforeAutospacing="1" w:after="100" w:afterAutospacing="1"/>
      <w:pBdr>
        <w:top w:val="single" w:color="969696" w:sz="4" w:space="0"/>
        <w:left w:val="single" w:color="969696" w:sz="4" w:space="0"/>
        <w:bottom w:val="single" w:color="969696" w:sz="6" w:space="0"/>
        <w:right w:val="single" w:color="969696" w:sz="4" w:space="0"/>
      </w:pBdr>
    </w:pPr>
  </w:style>
  <w:style w:type="paragraph" w:styleId="1228" w:customStyle="1">
    <w:name w:val="xl194"/>
    <w:basedOn w:val="802"/>
    <w:pPr>
      <w:jc w:val="center"/>
      <w:spacing w:before="100" w:beforeAutospacing="1" w:after="100" w:afterAutospacing="1"/>
      <w:pBdr>
        <w:top w:val="single" w:color="969696" w:sz="4" w:space="0"/>
        <w:left w:val="single" w:color="969696" w:sz="4" w:space="0"/>
        <w:bottom w:val="single" w:color="969696" w:sz="6" w:space="0"/>
      </w:pBdr>
    </w:pPr>
  </w:style>
  <w:style w:type="paragraph" w:styleId="1229" w:customStyle="1">
    <w:name w:val="xl195"/>
    <w:basedOn w:val="802"/>
    <w:pPr>
      <w:jc w:val="center"/>
      <w:spacing w:before="100" w:beforeAutospacing="1" w:after="100" w:afterAutospacing="1"/>
      <w:shd w:val="clear" w:color="000000" w:fill="ffffff"/>
      <w:pBdr>
        <w:top w:val="single" w:color="C0C0C0" w:sz="4" w:space="0"/>
        <w:left w:val="single" w:color="C0C0C0" w:sz="4" w:space="0"/>
        <w:bottom w:val="single" w:color="C0C0C0" w:sz="4" w:space="0"/>
        <w:right w:val="single" w:color="C0C0C0" w:sz="4" w:space="0"/>
      </w:pBdr>
    </w:pPr>
  </w:style>
  <w:style w:type="paragraph" w:styleId="1230" w:customStyle="1">
    <w:name w:val="xl196"/>
    <w:basedOn w:val="802"/>
    <w:pPr>
      <w:jc w:val="right"/>
      <w:spacing w:before="100" w:beforeAutospacing="1" w:after="100" w:afterAutospacing="1"/>
      <w:shd w:val="clear" w:color="000000" w:fill="ccffcc"/>
      <w:pBdr>
        <w:top w:val="single" w:color="C0C0C0" w:sz="4" w:space="0"/>
        <w:left w:val="single" w:color="C0C0C0" w:sz="4" w:space="0"/>
        <w:bottom w:val="single" w:color="C0C0C0" w:sz="4" w:space="0"/>
      </w:pBdr>
    </w:pPr>
  </w:style>
  <w:style w:type="paragraph" w:styleId="1231" w:customStyle="1">
    <w:name w:val="xl197"/>
    <w:basedOn w:val="802"/>
    <w:pPr>
      <w:ind w:firstLine="100"/>
      <w:spacing w:before="100" w:beforeAutospacing="1" w:after="100" w:afterAutospacing="1"/>
      <w:pBdr>
        <w:top w:val="single" w:color="C0C0C0" w:sz="4" w:space="0"/>
        <w:left w:val="single" w:color="C0C0C0" w:sz="4" w:space="9"/>
        <w:bottom w:val="single" w:color="C0C0C0" w:sz="4" w:space="0"/>
        <w:right w:val="single" w:color="C0C0C0" w:sz="4" w:space="0"/>
      </w:pBdr>
    </w:pPr>
  </w:style>
  <w:style w:type="paragraph" w:styleId="1232" w:customStyle="1">
    <w:name w:val="xl198"/>
    <w:basedOn w:val="802"/>
    <w:pPr>
      <w:ind w:firstLine="200"/>
      <w:spacing w:before="100" w:beforeAutospacing="1" w:after="100" w:afterAutospacing="1"/>
      <w:pBdr>
        <w:top w:val="single" w:color="C0C0C0" w:sz="4" w:space="0"/>
        <w:left w:val="single" w:color="C0C0C0" w:sz="4" w:space="18"/>
        <w:bottom w:val="single" w:color="C0C0C0" w:sz="4" w:space="0"/>
        <w:right w:val="single" w:color="C0C0C0" w:sz="4" w:space="0"/>
      </w:pBdr>
    </w:pPr>
  </w:style>
  <w:style w:type="paragraph" w:styleId="1233" w:customStyle="1">
    <w:name w:val="xl199"/>
    <w:basedOn w:val="802"/>
    <w:pPr>
      <w:jc w:val="right"/>
      <w:spacing w:before="100" w:beforeAutospacing="1" w:after="100" w:afterAutospacing="1"/>
      <w:shd w:val="clear" w:color="000000" w:fill="ccffcc"/>
      <w:pBdr>
        <w:top w:val="single" w:color="C0C0C0" w:sz="4" w:space="0"/>
        <w:left w:val="single" w:color="C0C0C0" w:sz="4" w:space="0"/>
        <w:bottom w:val="single" w:color="C0C0C0" w:sz="4" w:space="0"/>
      </w:pBdr>
    </w:pPr>
  </w:style>
  <w:style w:type="paragraph" w:styleId="1234" w:customStyle="1">
    <w:name w:val="xl200"/>
    <w:basedOn w:val="802"/>
    <w:pPr>
      <w:ind w:firstLine="200"/>
      <w:spacing w:before="100" w:beforeAutospacing="1" w:after="100" w:afterAutospacing="1"/>
      <w:shd w:val="thinReverseDiagStripe" w:color="eaeaea" w:fill="auto"/>
      <w:pBdr>
        <w:top w:val="single" w:color="C0C0C0" w:sz="4" w:space="0"/>
        <w:bottom w:val="single" w:color="C0C0C0" w:sz="4" w:space="0"/>
      </w:pBdr>
    </w:pPr>
    <w:rPr>
      <w:b/>
      <w:bCs/>
      <w:color w:val="333399"/>
    </w:rPr>
  </w:style>
  <w:style w:type="paragraph" w:styleId="1235" w:customStyle="1">
    <w:name w:val="xl201"/>
    <w:basedOn w:val="802"/>
    <w:pPr>
      <w:jc w:val="right"/>
      <w:spacing w:before="100" w:beforeAutospacing="1" w:after="100" w:afterAutospacing="1"/>
      <w:shd w:val="thinReverseDiagStripe" w:color="eaeaea" w:fill="auto"/>
      <w:pBdr>
        <w:top w:val="single" w:color="C0C0C0" w:sz="4" w:space="0"/>
        <w:bottom w:val="single" w:color="C0C0C0" w:sz="4" w:space="0"/>
      </w:pBdr>
    </w:pPr>
    <w:rPr>
      <w:b/>
      <w:bCs/>
      <w:color w:val="333399"/>
    </w:rPr>
  </w:style>
  <w:style w:type="paragraph" w:styleId="1236" w:customStyle="1">
    <w:name w:val="xl202"/>
    <w:basedOn w:val="802"/>
    <w:pPr>
      <w:jc w:val="right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  <w:bottom w:val="single" w:color="C0C0C0" w:sz="4" w:space="0"/>
      </w:pBdr>
    </w:pPr>
  </w:style>
  <w:style w:type="paragraph" w:styleId="1237" w:customStyle="1">
    <w:name w:val="xl203"/>
    <w:basedOn w:val="802"/>
    <w:pPr>
      <w:ind w:firstLine="300"/>
      <w:spacing w:before="100" w:beforeAutospacing="1" w:after="100" w:afterAutospacing="1"/>
      <w:pBdr>
        <w:top w:val="single" w:color="C0C0C0" w:sz="4" w:space="0"/>
        <w:left w:val="single" w:color="C0C0C0" w:sz="4" w:space="27"/>
        <w:bottom w:val="single" w:color="C0C0C0" w:sz="4" w:space="0"/>
        <w:right w:val="single" w:color="C0C0C0" w:sz="4" w:space="0"/>
      </w:pBdr>
    </w:pPr>
  </w:style>
  <w:style w:type="paragraph" w:styleId="1238" w:customStyle="1">
    <w:name w:val="xl204"/>
    <w:basedOn w:val="802"/>
    <w:pPr>
      <w:ind w:firstLine="200"/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18"/>
        <w:bottom w:val="single" w:color="C0C0C0" w:sz="4" w:space="0"/>
        <w:right w:val="single" w:color="C0C0C0" w:sz="4" w:space="0"/>
      </w:pBdr>
    </w:pPr>
  </w:style>
  <w:style w:type="paragraph" w:styleId="1239" w:customStyle="1">
    <w:name w:val="xl205"/>
    <w:basedOn w:val="802"/>
    <w:pPr>
      <w:spacing w:before="100" w:beforeAutospacing="1" w:after="100" w:afterAutospacing="1"/>
      <w:shd w:val="clear" w:color="000000" w:fill="ccffff"/>
      <w:pBdr>
        <w:top w:val="single" w:color="C0C0C0" w:sz="4" w:space="0"/>
        <w:left w:val="single" w:color="C0C0C0" w:sz="4" w:space="0"/>
        <w:bottom w:val="single" w:color="C0C0C0" w:sz="4" w:space="0"/>
        <w:right w:val="single" w:color="C0C0C0" w:sz="4" w:space="0"/>
      </w:pBdr>
    </w:pPr>
    <w:rPr>
      <w:b/>
      <w:bCs/>
      <w:color w:val="0000FF"/>
      <w:u w:val="single"/>
    </w:rPr>
  </w:style>
  <w:style w:type="paragraph" w:styleId="1240" w:customStyle="1">
    <w:name w:val="xl206"/>
    <w:basedOn w:val="802"/>
    <w:pPr>
      <w:spacing w:before="100" w:beforeAutospacing="1" w:after="100" w:afterAutospacing="1"/>
      <w:shd w:val="clear" w:color="000000" w:fill="ffff99"/>
      <w:pBdr>
        <w:top w:val="single" w:color="C0C0C0" w:sz="4" w:space="0"/>
        <w:left w:val="single" w:color="C0C0C0" w:sz="4" w:space="0"/>
        <w:bottom w:val="single" w:color="C0C0C0" w:sz="4" w:space="0"/>
      </w:pBdr>
    </w:pPr>
  </w:style>
  <w:style w:type="character" w:styleId="1241" w:customStyle="1">
    <w:name w:val="Balloon Text Char"/>
    <w:uiPriority w:val="99"/>
    <w:semiHidden/>
    <w:rPr>
      <w:rFonts w:ascii="Tahoma" w:hAnsi="Tahoma" w:cs="Times New Roman"/>
      <w:sz w:val="16"/>
    </w:rPr>
  </w:style>
  <w:style w:type="paragraph" w:styleId="1242" w:customStyle="1">
    <w:name w:val="Подпись к таблице1"/>
    <w:basedOn w:val="802"/>
    <w:uiPriority w:val="99"/>
    <w:pPr>
      <w:ind w:hanging="100"/>
      <w:spacing w:line="312" w:lineRule="exact"/>
      <w:shd w:val="clear" w:color="auto" w:fill="ffffff"/>
      <w:widowControl w:val="off"/>
    </w:pPr>
    <w:rPr>
      <w:rFonts w:eastAsiaTheme="minorHAnsi" w:cstheme="minorBidi"/>
      <w:b/>
      <w:sz w:val="22"/>
      <w:szCs w:val="22"/>
      <w:lang w:eastAsia="en-US"/>
    </w:rPr>
  </w:style>
  <w:style w:type="paragraph" w:styleId="1243" w:customStyle="1">
    <w:name w:val="Таблички 10"/>
    <w:basedOn w:val="802"/>
    <w:link w:val="1244"/>
    <w:qFormat/>
    <w:pPr>
      <w:jc w:val="center"/>
      <w:spacing w:line="276" w:lineRule="auto"/>
    </w:pPr>
    <w:rPr>
      <w:rFonts w:eastAsiaTheme="minorHAnsi"/>
      <w:sz w:val="20"/>
      <w:szCs w:val="20"/>
      <w:lang w:eastAsia="en-US"/>
    </w:rPr>
  </w:style>
  <w:style w:type="character" w:styleId="1244" w:customStyle="1">
    <w:name w:val="Таблички 10 Знак"/>
    <w:basedOn w:val="812"/>
    <w:link w:val="1243"/>
    <w:rPr>
      <w:rFonts w:ascii="Times New Roman" w:hAnsi="Times New Roman" w:cs="Times New Roman" w:eastAsiaTheme="minorHAnsi"/>
      <w:lang w:eastAsia="en-US"/>
    </w:rPr>
  </w:style>
  <w:style w:type="paragraph" w:styleId="1245">
    <w:name w:val="Plain Text"/>
    <w:basedOn w:val="802"/>
    <w:link w:val="1246"/>
    <w:uiPriority w:val="99"/>
    <w:pPr>
      <w:jc w:val="both"/>
    </w:pPr>
    <w:rPr>
      <w:rFonts w:ascii="Courier New" w:hAnsi="Courier New" w:cs="Courier New"/>
      <w:sz w:val="20"/>
      <w:szCs w:val="20"/>
    </w:rPr>
  </w:style>
  <w:style w:type="character" w:styleId="1246" w:customStyle="1">
    <w:name w:val="Текст Знак"/>
    <w:basedOn w:val="812"/>
    <w:link w:val="1245"/>
    <w:uiPriority w:val="99"/>
    <w:rPr>
      <w:rFonts w:ascii="Courier New" w:hAnsi="Courier New" w:cs="Courier New"/>
    </w:rPr>
  </w:style>
  <w:style w:type="character" w:styleId="1247">
    <w:name w:val="Strong"/>
    <w:basedOn w:val="812"/>
    <w:uiPriority w:val="22"/>
    <w:qFormat/>
    <w:rPr>
      <w:b/>
      <w:bCs/>
    </w:rPr>
  </w:style>
  <w:style w:type="character" w:styleId="1248" w:customStyle="1">
    <w:name w:val="apple-converted-space"/>
    <w:basedOn w:val="812"/>
  </w:style>
  <w:style w:type="paragraph" w:styleId="1249" w:customStyle="1">
    <w:name w:val="Абзац списка1"/>
    <w:basedOn w:val="802"/>
    <w:pPr>
      <w:contextualSpacing/>
      <w:ind w:left="720"/>
      <w:jc w:val="both"/>
    </w:pPr>
    <w:rPr>
      <w:rFonts w:eastAsia="Calibri"/>
    </w:rPr>
  </w:style>
  <w:style w:type="character" w:styleId="1250">
    <w:name w:val="Subtle Emphasis"/>
    <w:basedOn w:val="812"/>
    <w:uiPriority w:val="19"/>
    <w:qFormat/>
    <w:rPr>
      <w:i/>
      <w:iCs/>
      <w:color w:val="404040" w:themeColor="text1" w:themeTint="BF"/>
    </w:rPr>
  </w:style>
  <w:style w:type="numbering" w:styleId="1251" w:customStyle="1">
    <w:name w:val="Нет списка7"/>
    <w:next w:val="814"/>
    <w:uiPriority w:val="99"/>
    <w:semiHidden/>
  </w:style>
  <w:style w:type="table" w:styleId="1252" w:customStyle="1">
    <w:name w:val="Сетка таблицы6"/>
    <w:basedOn w:val="813"/>
    <w:next w:val="832"/>
    <w:uiPriority w:val="59"/>
    <w:rPr>
      <w:rFonts w:ascii="Times New Roman" w:hAnsi="Times New Roman" w:cs="Times New Roma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1253" w:customStyle="1">
    <w:name w:val="Основной текст с отступом Знак"/>
    <w:link w:val="1254"/>
    <w:rPr>
      <w:sz w:val="24"/>
      <w:szCs w:val="24"/>
    </w:rPr>
  </w:style>
  <w:style w:type="paragraph" w:styleId="1254">
    <w:name w:val="Body Text Indent"/>
    <w:basedOn w:val="802"/>
    <w:link w:val="1253"/>
    <w:pPr>
      <w:ind w:left="283"/>
      <w:spacing w:after="120"/>
    </w:pPr>
    <w:rPr>
      <w:rFonts w:ascii="Calibri" w:hAnsi="Calibri" w:cs="Calibri"/>
    </w:rPr>
  </w:style>
  <w:style w:type="character" w:styleId="1255" w:customStyle="1">
    <w:name w:val="Основной текст с отступом Знак1"/>
    <w:basedOn w:val="812"/>
    <w:link w:val="1254"/>
    <w:uiPriority w:val="99"/>
    <w:semiHidden/>
    <w:rPr>
      <w:rFonts w:ascii="Times New Roman" w:hAnsi="Times New Roman" w:cs="Times New Roman"/>
      <w:sz w:val="24"/>
      <w:szCs w:val="24"/>
    </w:rPr>
  </w:style>
  <w:style w:type="paragraph" w:styleId="1256" w:customStyle="1">
    <w:name w:val="Абзац списка2"/>
    <w:basedOn w:val="802"/>
    <w:pPr>
      <w:contextualSpacing/>
      <w:ind w:left="720"/>
    </w:pPr>
    <w:rPr>
      <w:rFonts w:eastAsia="Calibri"/>
    </w:rPr>
  </w:style>
  <w:style w:type="paragraph" w:styleId="1257" w:customStyle="1">
    <w:name w:val="ConsPlusTitle"/>
    <w:pPr>
      <w:widowControl w:val="off"/>
    </w:pPr>
    <w:rPr>
      <w:rFonts w:ascii="Arial" w:hAnsi="Arial" w:cs="Arial"/>
      <w:b/>
      <w:bCs/>
    </w:rPr>
  </w:style>
  <w:style w:type="paragraph" w:styleId="1258">
    <w:name w:val="Body Text 2"/>
    <w:basedOn w:val="802"/>
    <w:link w:val="1259"/>
    <w:pPr>
      <w:spacing w:after="120" w:line="480" w:lineRule="auto"/>
    </w:pPr>
    <w:rPr>
      <w:rFonts w:eastAsia="Calibri"/>
    </w:rPr>
  </w:style>
  <w:style w:type="character" w:styleId="1259" w:customStyle="1">
    <w:name w:val="Основной текст 2 Знак"/>
    <w:basedOn w:val="812"/>
    <w:link w:val="1258"/>
    <w:rPr>
      <w:rFonts w:ascii="Times New Roman" w:hAnsi="Times New Roman" w:cs="Times New Roman" w:eastAsia="Calibri"/>
      <w:sz w:val="24"/>
      <w:szCs w:val="24"/>
    </w:rPr>
  </w:style>
  <w:style w:type="paragraph" w:styleId="1260" w:customStyle="1">
    <w:name w:val="western"/>
    <w:basedOn w:val="802"/>
    <w:pPr>
      <w:spacing w:before="100" w:beforeAutospacing="1" w:after="100" w:afterAutospacing="1"/>
    </w:pPr>
    <w:rPr>
      <w:rFonts w:eastAsia="Calibri"/>
    </w:rPr>
  </w:style>
  <w:style w:type="paragraph" w:styleId="1261" w:customStyle="1">
    <w:name w:val="Основной текст с отступом 21"/>
    <w:basedOn w:val="802"/>
    <w:pPr>
      <w:ind w:left="720" w:hanging="851"/>
      <w:jc w:val="both"/>
    </w:pPr>
    <w:rPr>
      <w:sz w:val="28"/>
      <w:szCs w:val="20"/>
      <w:lang w:eastAsia="ar-SA"/>
    </w:rPr>
  </w:style>
  <w:style w:type="character" w:styleId="1262" w:customStyle="1">
    <w:name w:val="Body text_"/>
    <w:link w:val="1263"/>
    <w:rPr>
      <w:sz w:val="25"/>
      <w:szCs w:val="25"/>
      <w:shd w:val="clear" w:color="auto" w:fill="ffffff"/>
    </w:rPr>
  </w:style>
  <w:style w:type="paragraph" w:styleId="1263" w:customStyle="1">
    <w:name w:val="Основной текст2"/>
    <w:basedOn w:val="802"/>
    <w:link w:val="1262"/>
    <w:pPr>
      <w:jc w:val="both"/>
      <w:spacing w:line="322" w:lineRule="exact"/>
      <w:shd w:val="clear" w:color="auto" w:fill="ffffff"/>
    </w:pPr>
    <w:rPr>
      <w:rFonts w:ascii="Calibri" w:hAnsi="Calibri" w:cs="Calibri"/>
      <w:sz w:val="25"/>
      <w:szCs w:val="25"/>
    </w:rPr>
  </w:style>
  <w:style w:type="paragraph" w:styleId="1264">
    <w:name w:val="Title"/>
    <w:basedOn w:val="802"/>
    <w:link w:val="1265"/>
    <w:qFormat/>
    <w:pPr>
      <w:jc w:val="center"/>
      <w:tabs>
        <w:tab w:val="left" w:pos="2280" w:leader="none"/>
      </w:tabs>
    </w:pPr>
    <w:rPr>
      <w:b/>
      <w:bCs/>
      <w:sz w:val="40"/>
      <w:szCs w:val="20"/>
      <w:lang w:eastAsia="en-US"/>
    </w:rPr>
  </w:style>
  <w:style w:type="character" w:styleId="1265" w:customStyle="1">
    <w:name w:val="Название Знак"/>
    <w:basedOn w:val="812"/>
    <w:link w:val="1264"/>
    <w:rPr>
      <w:rFonts w:ascii="Times New Roman" w:hAnsi="Times New Roman" w:cs="Times New Roman"/>
      <w:b/>
      <w:bCs/>
      <w:sz w:val="40"/>
      <w:lang w:eastAsia="en-US"/>
    </w:rPr>
  </w:style>
  <w:style w:type="character" w:styleId="1266" w:customStyle="1">
    <w:name w:val="Font Style11"/>
    <w:rPr>
      <w:rFonts w:ascii="Times New Roman" w:hAnsi="Times New Roman" w:cs="Times New Roman" w:hint="default"/>
      <w:sz w:val="24"/>
      <w:szCs w:val="24"/>
    </w:rPr>
  </w:style>
  <w:style w:type="paragraph" w:styleId="1267">
    <w:name w:val="Body Text 3"/>
    <w:basedOn w:val="802"/>
    <w:link w:val="1268"/>
    <w:pPr>
      <w:spacing w:after="120"/>
    </w:pPr>
    <w:rPr>
      <w:sz w:val="16"/>
      <w:szCs w:val="16"/>
    </w:rPr>
  </w:style>
  <w:style w:type="character" w:styleId="1268" w:customStyle="1">
    <w:name w:val="Основной текст 3 Знак"/>
    <w:basedOn w:val="812"/>
    <w:link w:val="1267"/>
    <w:rPr>
      <w:rFonts w:ascii="Times New Roman" w:hAnsi="Times New Roman" w:cs="Times New Roman"/>
      <w:sz w:val="16"/>
      <w:szCs w:val="16"/>
    </w:rPr>
  </w:style>
  <w:style w:type="paragraph" w:styleId="1269" w:customStyle="1">
    <w:name w:val="ConsPlusNonformat"/>
    <w:pPr>
      <w:widowControl w:val="off"/>
    </w:pPr>
    <w:rPr>
      <w:rFonts w:ascii="Courier New" w:hAnsi="Courier New" w:cs="Courier New" w:eastAsia="Calibri"/>
    </w:rPr>
  </w:style>
  <w:style w:type="paragraph" w:styleId="1270" w:customStyle="1">
    <w:name w:val="Основной текст 21"/>
    <w:basedOn w:val="802"/>
    <w:pPr>
      <w:ind w:left="567" w:firstLine="567"/>
      <w:jc w:val="both"/>
      <w:spacing w:after="120" w:line="480" w:lineRule="auto"/>
      <w:widowControl w:val="off"/>
    </w:pPr>
    <w:rPr>
      <w:rFonts w:ascii="Calibri" w:hAnsi="Calibri" w:cs="Mangal" w:eastAsia="Calibri"/>
      <w:sz w:val="22"/>
      <w:szCs w:val="22"/>
      <w:lang w:bidi="hi-IN" w:eastAsia="hi-IN"/>
    </w:rPr>
  </w:style>
  <w:style w:type="paragraph" w:styleId="1271" w:customStyle="1">
    <w:name w:val="Обычный + По ширине"/>
    <w:basedOn w:val="802"/>
    <w:pPr>
      <w:jc w:val="both"/>
    </w:pPr>
    <w:rPr>
      <w:sz w:val="28"/>
    </w:rPr>
  </w:style>
  <w:style w:type="character" w:styleId="1272" w:customStyle="1">
    <w:name w:val="Основной текст с отступом 2 Знак1"/>
    <w:uiPriority w:val="99"/>
    <w:semiHidden/>
    <w:rPr>
      <w:rFonts w:ascii="Times New Roman" w:hAnsi="Times New Roman" w:cs="Times New Roman"/>
      <w:sz w:val="24"/>
      <w:szCs w:val="24"/>
    </w:rPr>
  </w:style>
  <w:style w:type="paragraph" w:styleId="1273" w:customStyle="1">
    <w:name w:val="Заголовок 11"/>
    <w:basedOn w:val="802"/>
    <w:next w:val="802"/>
    <w:uiPriority w:val="9"/>
    <w:qFormat/>
    <w:pPr>
      <w:jc w:val="center"/>
      <w:keepLines/>
      <w:keepNext/>
      <w:spacing w:before="480"/>
      <w:outlineLvl w:val="0"/>
    </w:pPr>
    <w:rPr>
      <w:rFonts w:ascii="Cambria" w:hAnsi="Cambria"/>
      <w:b/>
      <w:bCs/>
      <w:sz w:val="32"/>
      <w:szCs w:val="32"/>
    </w:rPr>
  </w:style>
  <w:style w:type="paragraph" w:styleId="1274" w:customStyle="1">
    <w:name w:val="Заголовок 21"/>
    <w:basedOn w:val="802"/>
    <w:next w:val="802"/>
    <w:uiPriority w:val="9"/>
    <w:unhideWhenUsed/>
    <w:qFormat/>
    <w:pPr>
      <w:keepLines/>
      <w:keepNext/>
      <w:outlineLvl w:val="1"/>
    </w:pPr>
    <w:rPr>
      <w:b/>
      <w:bCs/>
      <w:szCs w:val="26"/>
    </w:rPr>
  </w:style>
  <w:style w:type="paragraph" w:styleId="1275" w:customStyle="1">
    <w:name w:val="Заголовок 31"/>
    <w:basedOn w:val="802"/>
    <w:next w:val="802"/>
    <w:uiPriority w:val="9"/>
    <w:semiHidden/>
    <w:unhideWhenUsed/>
    <w:qFormat/>
    <w:pPr>
      <w:jc w:val="both"/>
      <w:keepLines/>
      <w:keepNext/>
      <w:spacing w:before="200"/>
      <w:outlineLvl w:val="2"/>
    </w:pPr>
    <w:rPr>
      <w:rFonts w:ascii="Cambria" w:hAnsi="Cambria"/>
      <w:b/>
      <w:bCs/>
      <w:color w:val="4F81BD"/>
    </w:rPr>
  </w:style>
  <w:style w:type="numbering" w:styleId="1276" w:customStyle="1">
    <w:name w:val="Нет списка14"/>
    <w:next w:val="814"/>
    <w:uiPriority w:val="99"/>
    <w:semiHidden/>
    <w:unhideWhenUsed/>
  </w:style>
  <w:style w:type="character" w:styleId="1277" w:customStyle="1">
    <w:name w:val="Заголовок 1 Знак1"/>
    <w:uiPriority w:val="9"/>
    <w:rPr>
      <w:rFonts w:ascii="Calibri Light" w:hAnsi="Calibri Light"/>
      <w:b/>
      <w:bCs/>
      <w:sz w:val="32"/>
      <w:szCs w:val="32"/>
    </w:rPr>
  </w:style>
  <w:style w:type="character" w:styleId="1278" w:customStyle="1">
    <w:name w:val="Гиперссылка1"/>
    <w:uiPriority w:val="99"/>
    <w:unhideWhenUsed/>
    <w:rPr>
      <w:color w:val="0000FF"/>
      <w:u w:val="single"/>
    </w:rPr>
  </w:style>
  <w:style w:type="character" w:styleId="1279" w:customStyle="1">
    <w:name w:val="Просмотренная гиперссылка1"/>
    <w:uiPriority w:val="99"/>
    <w:semiHidden/>
    <w:unhideWhenUsed/>
    <w:rPr>
      <w:color w:val="800080"/>
      <w:u w:val="single"/>
    </w:rPr>
  </w:style>
  <w:style w:type="paragraph" w:styleId="1280" w:customStyle="1">
    <w:name w:val="Оглавление 41"/>
    <w:basedOn w:val="802"/>
    <w:next w:val="802"/>
    <w:uiPriority w:val="39"/>
    <w:unhideWhenUsed/>
    <w:pPr>
      <w:ind w:left="660"/>
      <w:jc w:val="both"/>
      <w:spacing w:after="100" w:line="276" w:lineRule="auto"/>
    </w:pPr>
    <w:rPr>
      <w:rFonts w:ascii="Calibri" w:hAnsi="Calibri"/>
      <w:sz w:val="22"/>
      <w:szCs w:val="22"/>
    </w:rPr>
  </w:style>
  <w:style w:type="paragraph" w:styleId="1281" w:customStyle="1">
    <w:name w:val="Оглавление 51"/>
    <w:basedOn w:val="802"/>
    <w:next w:val="802"/>
    <w:uiPriority w:val="39"/>
    <w:unhideWhenUsed/>
    <w:pPr>
      <w:ind w:left="880"/>
      <w:jc w:val="both"/>
      <w:spacing w:after="100" w:line="276" w:lineRule="auto"/>
    </w:pPr>
    <w:rPr>
      <w:rFonts w:ascii="Calibri" w:hAnsi="Calibri"/>
      <w:sz w:val="22"/>
      <w:szCs w:val="22"/>
    </w:rPr>
  </w:style>
  <w:style w:type="paragraph" w:styleId="1282" w:customStyle="1">
    <w:name w:val="Оглавление 61"/>
    <w:basedOn w:val="802"/>
    <w:next w:val="802"/>
    <w:uiPriority w:val="39"/>
    <w:unhideWhenUsed/>
    <w:pPr>
      <w:ind w:left="1100"/>
      <w:jc w:val="both"/>
      <w:spacing w:after="100" w:line="276" w:lineRule="auto"/>
    </w:pPr>
    <w:rPr>
      <w:rFonts w:ascii="Calibri" w:hAnsi="Calibri"/>
      <w:sz w:val="22"/>
      <w:szCs w:val="22"/>
    </w:rPr>
  </w:style>
  <w:style w:type="paragraph" w:styleId="1283" w:customStyle="1">
    <w:name w:val="Оглавление 71"/>
    <w:basedOn w:val="802"/>
    <w:next w:val="802"/>
    <w:uiPriority w:val="39"/>
    <w:unhideWhenUsed/>
    <w:pPr>
      <w:ind w:left="1320"/>
      <w:jc w:val="both"/>
      <w:spacing w:after="100" w:line="276" w:lineRule="auto"/>
    </w:pPr>
    <w:rPr>
      <w:rFonts w:ascii="Calibri" w:hAnsi="Calibri"/>
      <w:sz w:val="22"/>
      <w:szCs w:val="22"/>
    </w:rPr>
  </w:style>
  <w:style w:type="paragraph" w:styleId="1284" w:customStyle="1">
    <w:name w:val="Оглавление 81"/>
    <w:basedOn w:val="802"/>
    <w:next w:val="802"/>
    <w:uiPriority w:val="39"/>
    <w:unhideWhenUsed/>
    <w:pPr>
      <w:ind w:left="1540"/>
      <w:jc w:val="both"/>
      <w:spacing w:after="100" w:line="276" w:lineRule="auto"/>
    </w:pPr>
    <w:rPr>
      <w:rFonts w:ascii="Calibri" w:hAnsi="Calibri"/>
      <w:sz w:val="22"/>
      <w:szCs w:val="22"/>
    </w:rPr>
  </w:style>
  <w:style w:type="paragraph" w:styleId="1285" w:customStyle="1">
    <w:name w:val="Оглавление 91"/>
    <w:basedOn w:val="802"/>
    <w:next w:val="802"/>
    <w:uiPriority w:val="39"/>
    <w:unhideWhenUsed/>
    <w:pPr>
      <w:ind w:left="1760"/>
      <w:jc w:val="both"/>
      <w:spacing w:after="100" w:line="276" w:lineRule="auto"/>
    </w:pPr>
    <w:rPr>
      <w:rFonts w:ascii="Calibri" w:hAnsi="Calibri"/>
      <w:sz w:val="22"/>
      <w:szCs w:val="22"/>
    </w:rPr>
  </w:style>
  <w:style w:type="character" w:styleId="1286" w:customStyle="1">
    <w:name w:val="Слабое выделение1"/>
    <w:uiPriority w:val="19"/>
    <w:qFormat/>
    <w:rPr>
      <w:i/>
      <w:iCs/>
      <w:color w:val="404040"/>
    </w:rPr>
  </w:style>
  <w:style w:type="character" w:styleId="1287" w:customStyle="1">
    <w:name w:val="Заголовок 2 Знак1"/>
    <w:uiPriority w:val="9"/>
    <w:semiHidden/>
    <w:rPr>
      <w:rFonts w:ascii="Calibri Light" w:hAnsi="Calibri Light" w:cs="Times New Roman" w:eastAsia="Times New Roman"/>
      <w:b/>
      <w:bCs/>
      <w:i/>
      <w:iCs/>
      <w:sz w:val="28"/>
      <w:szCs w:val="28"/>
    </w:rPr>
  </w:style>
  <w:style w:type="character" w:styleId="1288" w:customStyle="1">
    <w:name w:val="Заголовок 3 Знак1"/>
    <w:uiPriority w:val="9"/>
    <w:semiHidden/>
    <w:rPr>
      <w:rFonts w:ascii="Calibri Light" w:hAnsi="Calibri Light" w:cs="Times New Roman" w:eastAsia="Times New Roman"/>
      <w:b/>
      <w:bCs/>
      <w:sz w:val="26"/>
      <w:szCs w:val="26"/>
    </w:rPr>
  </w:style>
  <w:style w:type="table" w:styleId="1289" w:customStyle="1">
    <w:name w:val="Сетка таблицы7"/>
    <w:basedOn w:val="813"/>
    <w:next w:val="832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customXml" Target="../customXml/item1.xml" /><Relationship Id="rId15" Type="http://schemas.openxmlformats.org/officeDocument/2006/relationships/image" Target="media/image1.jpg"/><Relationship Id="rId16" Type="http://schemas.openxmlformats.org/officeDocument/2006/relationships/image" Target="media/image2.png"/><Relationship Id="rId17" Type="http://schemas.openxmlformats.org/officeDocument/2006/relationships/image" Target="media/image3.jpg"/><Relationship Id="rId18" Type="http://schemas.openxmlformats.org/officeDocument/2006/relationships/image" Target="media/image4.jpg"/><Relationship Id="rId19" Type="http://schemas.openxmlformats.org/officeDocument/2006/relationships/image" Target="media/image5.jp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chart" Target="charts/chart1.xml" /><Relationship Id="rId38" Type="http://schemas.openxmlformats.org/officeDocument/2006/relationships/hyperlink" Target="http://docs.cntd.ru/document/901816579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/>
                <a:cs typeface="Times New Roman"/>
              </a:defRPr>
            </a:pPr>
            <a:r>
              <a:rPr lang="ru-RU" sz="1400">
                <a:latin typeface="Times New Roman"/>
                <a:cs typeface="Times New Roman"/>
              </a:rPr>
              <a:t>Установленная мощность</a:t>
            </a:r>
            <a:r>
              <a:rPr lang="ru-RU" sz="1400">
                <a:latin typeface="Times New Roman"/>
                <a:cs typeface="Times New Roman"/>
              </a:rPr>
              <a:t> источника, Гкал/ч</a:t>
            </a:r>
            <a:endParaRPr lang="ru-RU" sz="1400">
              <a:latin typeface="Times New Roman"/>
              <a:cs typeface="Times New Roman"/>
            </a:endParaRPr>
          </a:p>
        </c:rich>
      </c:tx>
      <c:layout/>
      <c:overlay val="0"/>
    </c:title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Гкал,ч</c:v>
                </c:pt>
              </c:strCache>
            </c:strRef>
          </c:tx>
          <c:spPr bwMode="auto">
            <a:prstGeom prst="rect">
              <a:avLst/>
            </a:prstGeom>
            <a:solidFill>
              <a:srgbClr val="92D050"/>
            </a:solidFill>
            <a:ln w="25400" cap="flat" cmpd="sng" algn="ctr">
              <a:solidFill>
                <a:schemeClr val="accent6"/>
              </a:solidFill>
              <a:prstDash val="solid"/>
            </a:ln>
            <a:effectLst/>
          </c:spPr>
          <c:cat>
            <c:strRef>
              <c:f>Лист1!$A$2:$A$21</c:f>
              <c:strCache>
                <c:ptCount val="20"/>
                <c:pt idx="0">
                  <c:v xml:space="preserve">Котельная Луначарского</c:v>
                </c:pt>
                <c:pt idx="1">
                  <c:v xml:space="preserve">Котельная Шухова</c:v>
                </c:pt>
                <c:pt idx="2">
                  <c:v xml:space="preserve">Котельная ПНИ</c:v>
                </c:pt>
                <c:pt idx="3">
                  <c:v xml:space="preserve">Котельная Администрация округа</c:v>
                </c:pt>
                <c:pt idx="4">
                  <c:v xml:space="preserve">Котельная с. Замостье</c:v>
                </c:pt>
                <c:pt idx="5">
                  <c:v xml:space="preserve">Котельная ОПБ ТКУ</c:v>
                </c:pt>
                <c:pt idx="6">
                  <c:v xml:space="preserve">Котельная с. Козинка ТКУ</c:v>
                </c:pt>
                <c:pt idx="7">
                  <c:v xml:space="preserve">Котельная с. Гора-Подол (школа)</c:v>
                </c:pt>
                <c:pt idx="8">
                  <c:v xml:space="preserve">Котельная с. Гора-Подол (администрация)</c:v>
                </c:pt>
                <c:pt idx="9">
                  <c:v xml:space="preserve">Котельная Шухова</c:v>
                </c:pt>
                <c:pt idx="10">
                  <c:v xml:space="preserve">Котельная с. Безымено</c:v>
                </c:pt>
                <c:pt idx="11">
                  <c:v xml:space="preserve">Котельная с. Смородино</c:v>
                </c:pt>
                <c:pt idx="12">
                  <c:v xml:space="preserve">Котельной с. Мокрая Орловка</c:v>
                </c:pt>
                <c:pt idx="13">
                  <c:v xml:space="preserve">Котельная с. Головчино (поселок)</c:v>
                </c:pt>
                <c:pt idx="14">
                  <c:v xml:space="preserve">Котельная с. Головчино (больница)</c:v>
                </c:pt>
                <c:pt idx="15">
                  <c:v xml:space="preserve">Котельная с. Головчино ТКУ</c:v>
                </c:pt>
                <c:pt idx="16">
                  <c:v xml:space="preserve">Котельная п. Горьковский</c:v>
                </c:pt>
                <c:pt idx="17">
                  <c:v xml:space="preserve">Котельная с. Дорогощь (детский сад)</c:v>
                </c:pt>
                <c:pt idx="18">
                  <c:v xml:space="preserve">Котельная с. Дорогощь (школа)</c:v>
                </c:pt>
                <c:pt idx="19">
                  <c:v xml:space="preserve">Котельная с. Доброе (школа)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6.64</c:v>
                </c:pt>
                <c:pt idx="1">
                  <c:v>2.4499999999999997</c:v>
                </c:pt>
                <c:pt idx="2">
                  <c:v>2.51</c:v>
                </c:pt>
                <c:pt idx="3">
                  <c:v>0.3440000000000012</c:v>
                </c:pt>
                <c:pt idx="4">
                  <c:v>0.1510000000000004</c:v>
                </c:pt>
                <c:pt idx="5">
                  <c:v>1.03</c:v>
                </c:pt>
                <c:pt idx="6">
                  <c:v>0.9500000000000006</c:v>
                </c:pt>
                <c:pt idx="7">
                  <c:v>0.26</c:v>
                </c:pt>
                <c:pt idx="8">
                  <c:v>0.05500000000000013</c:v>
                </c:pt>
                <c:pt idx="9">
                  <c:v>0.16000000000000036</c:v>
                </c:pt>
                <c:pt idx="10">
                  <c:v>2.07</c:v>
                </c:pt>
                <c:pt idx="11">
                  <c:v>1.5</c:v>
                </c:pt>
                <c:pt idx="12">
                  <c:v>1.2</c:v>
                </c:pt>
                <c:pt idx="13">
                  <c:v>1.8</c:v>
                </c:pt>
                <c:pt idx="14">
                  <c:v>0.2400000000000002</c:v>
                </c:pt>
                <c:pt idx="15">
                  <c:v>0.8600000000000007</c:v>
                </c:pt>
                <c:pt idx="16">
                  <c:v>1.7200000000000026</c:v>
                </c:pt>
                <c:pt idx="17">
                  <c:v>0.08600000000000006</c:v>
                </c:pt>
                <c:pt idx="18">
                  <c:v>0.17</c:v>
                </c:pt>
                <c:pt idx="19">
                  <c:v>0.52</c:v>
                </c:pt>
              </c:numCache>
            </c:numRef>
          </c:val>
        </c:ser>
        <c:dLbls>
          <c:showBubbleSize val="0"/>
          <c:showCatName val="0"/>
          <c:showLegendKey val="0"/>
          <c:showPercent val="0"/>
          <c:showSerName val="0"/>
          <c:showVal val="0"/>
        </c:dLbls>
        <c:gapWidth val="150"/>
        <c:axId val="66569344"/>
        <c:axId val="66570880"/>
      </c:barChart>
      <c:catAx>
        <c:axId val="665693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/>
                <a:cs typeface="Times New Roman"/>
              </a:defRPr>
            </a:pPr>
            <a:endParaRPr lang="ru-RU"/>
          </a:p>
        </c:txPr>
        <c:crossAx val="66570880"/>
        <c:crosses val="autoZero"/>
        <c:auto val="1"/>
        <c:lblAlgn val="ctr"/>
        <c:lblOffset val="100"/>
        <c:noMultiLvlLbl val="0"/>
      </c:catAx>
      <c:valAx>
        <c:axId val="66570880"/>
        <c:scaling>
          <c:orientation val="minMax"/>
        </c:scaling>
        <c:delete val="0"/>
        <c:axPos val="b"/>
        <c:majorGridlines>
          <c:spPr bwMode="auto"/>
        </c:majorGridlines>
        <c:numFmt formatCode="General" sourceLinked="1"/>
        <c:majorTickMark val="out"/>
        <c:minorTickMark val="none"/>
        <c:tickLblPos val="nextTo"/>
        <c:crossAx val="665693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5429D381-975A-4B04-9213-2BEC03036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Р7-Офис/7.0.2.5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revision>20</cp:revision>
  <dcterms:created xsi:type="dcterms:W3CDTF">2022-11-14T05:26:00Z</dcterms:created>
  <dcterms:modified xsi:type="dcterms:W3CDTF">2022-12-06T10:46:41Z</dcterms:modified>
</cp:coreProperties>
</file>