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6"/>
        <w:ind w:left="783" w:right="0"/>
        <w:jc w:val="both"/>
      </w:pPr>
      <w:r>
        <w:rPr>
          <w:rFonts w:eastAsia="Times New Roman"/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602615" cy="682625"/>
                <wp:effectExtent l="0" t="0" r="0" b="0"/>
                <wp:wrapNone/>
                <wp:docPr id="1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0531799" name="Изображение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-17" t="-13" r="-16" b="-13"/>
                        <a:stretch/>
                      </pic:blipFill>
                      <pic:spPr bwMode="auto">
                        <a:xfrm>
                          <a:off x="0" y="0"/>
                          <a:ext cx="602604" cy="6826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true;mso-position-horizontal-relative:text;margin-left:216.0pt;mso-position-horizontal:absolute;mso-position-vertical-relative:text;margin-top:-9.0pt;mso-position-vertical:absolute;width:47.4pt;height:53.8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/>
      <w:r/>
    </w:p>
    <w:p>
      <w:pPr>
        <w:pStyle w:val="675"/>
        <w:jc w:val="center"/>
      </w:pPr>
      <w:r/>
      <w:r/>
      <w:r/>
    </w:p>
    <w:p>
      <w:pPr>
        <w:pStyle w:val="675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675"/>
        <w:numPr>
          <w:ilvl w:val="0"/>
          <w:numId w:val="0"/>
        </w:numPr>
        <w:ind w:left="0" w:right="0" w:firstLine="0"/>
        <w:jc w:val="center"/>
        <w:outlineLvl w:val="0"/>
      </w:pPr>
      <w:r/>
      <w:r/>
      <w:r/>
    </w:p>
    <w:p>
      <w:pPr>
        <w:pStyle w:val="675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b/>
        </w:rPr>
        <w:t xml:space="preserve">Б е л г о р о д с к а я   о б л а с т ь</w:t>
      </w:r>
      <w:r/>
      <w:r/>
    </w:p>
    <w:p>
      <w:pPr>
        <w:pStyle w:val="675"/>
        <w:numPr>
          <w:ilvl w:val="0"/>
          <w:numId w:val="0"/>
        </w:numPr>
        <w:ind w:left="0" w:right="0" w:firstLine="0"/>
        <w:jc w:val="center"/>
        <w:outlineLvl w:val="0"/>
      </w:pPr>
      <w:r>
        <w:rPr>
          <w:sz w:val="16"/>
          <w:szCs w:val="16"/>
        </w:rPr>
      </w:r>
      <w:r/>
      <w:r/>
    </w:p>
    <w:p>
      <w:pPr>
        <w:pStyle w:val="675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АДМИНИСТРАЦИЯ </w:t>
      </w:r>
      <w:r/>
      <w:r/>
    </w:p>
    <w:p>
      <w:pPr>
        <w:pStyle w:val="675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ГРАЙВОРОНСКОГО МУНИЦИПАЛЬНОГО ОКРУГА</w:t>
      </w:r>
      <w:r/>
      <w:r/>
    </w:p>
    <w:p>
      <w:pPr>
        <w:pStyle w:val="675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 Narrow" w:hAnsi="Arial Narrow" w:cs="Arial Narrow"/>
          <w:b/>
          <w:sz w:val="32"/>
          <w:szCs w:val="32"/>
        </w:rPr>
        <w:t xml:space="preserve">БЕЛГОРОДСКОЙ ОБЛАСТИ</w:t>
      </w:r>
      <w:r/>
      <w:r/>
    </w:p>
    <w:p>
      <w:pPr>
        <w:pStyle w:val="675"/>
        <w:numPr>
          <w:ilvl w:val="0"/>
          <w:numId w:val="0"/>
        </w:numPr>
        <w:ind w:left="0" w:right="0" w:firstLine="0"/>
        <w:jc w:val="center"/>
        <w:outlineLvl w:val="0"/>
      </w:pPr>
      <w:r>
        <w:rPr>
          <w:sz w:val="16"/>
          <w:szCs w:val="16"/>
        </w:rPr>
      </w:r>
      <w:r/>
      <w:r/>
    </w:p>
    <w:p>
      <w:pPr>
        <w:pStyle w:val="675"/>
        <w:numPr>
          <w:ilvl w:val="0"/>
          <w:numId w:val="0"/>
        </w:numPr>
        <w:ind w:left="0" w:right="0" w:firstLine="0"/>
        <w:jc w:val="center"/>
        <w:outlineLvl w:val="0"/>
      </w:pPr>
      <w:r>
        <w:rPr>
          <w:rFonts w:ascii="Arial" w:hAnsi="Arial" w:cs="Arial"/>
          <w:spacing w:val="20"/>
          <w:sz w:val="32"/>
          <w:szCs w:val="32"/>
        </w:rPr>
        <w:t xml:space="preserve">ПОСТАНОВЛЕНИЕ</w:t>
      </w:r>
      <w:r/>
      <w:r/>
    </w:p>
    <w:p>
      <w:pPr>
        <w:pStyle w:val="675"/>
        <w:jc w:val="center"/>
      </w:pPr>
      <w:r>
        <w:rPr>
          <w:rFonts w:ascii="Arial" w:hAnsi="Arial" w:cs="Arial"/>
        </w:rPr>
      </w:r>
      <w:r/>
      <w:r/>
    </w:p>
    <w:p>
      <w:pPr>
        <w:pStyle w:val="675"/>
        <w:jc w:val="center"/>
      </w:pPr>
      <w:r>
        <w:rPr>
          <w:rFonts w:ascii="Arial" w:hAnsi="Arial" w:cs="Arial"/>
          <w:b/>
          <w:sz w:val="17"/>
          <w:szCs w:val="17"/>
        </w:rPr>
        <w:t xml:space="preserve">Грайворон</w:t>
      </w:r>
      <w:r/>
      <w:r/>
    </w:p>
    <w:p>
      <w:pPr>
        <w:pStyle w:val="675"/>
      </w:pPr>
      <w:r>
        <w:rPr>
          <w:rFonts w:ascii="Arial" w:hAnsi="Arial" w:cs="Arial"/>
          <w:sz w:val="24"/>
          <w:szCs w:val="24"/>
        </w:rPr>
      </w:r>
      <w:r/>
      <w:r/>
    </w:p>
    <w:p>
      <w:pPr>
        <w:pStyle w:val="675"/>
        <w:jc w:val="both"/>
        <w:rPr>
          <w:rFonts w:eastAsia="Times New Roman"/>
          <w:highlight w:val="none"/>
        </w:rPr>
      </w:pPr>
      <w:r>
        <w:rPr>
          <w:b/>
          <w:sz w:val="22"/>
          <w:szCs w:val="18"/>
        </w:rPr>
        <w:t xml:space="preserve"> </w:t>
      </w:r>
      <w:r>
        <w:rPr>
          <w:b/>
          <w:sz w:val="22"/>
          <w:szCs w:val="18"/>
        </w:rPr>
        <w:t xml:space="preserve">19 августа 2026  года</w:t>
        <w:tab/>
        <w:tab/>
        <w:tab/>
        <w:tab/>
        <w:tab/>
        <w:tab/>
        <w:tab/>
        <w:tab/>
        <w:tab/>
        <w:t xml:space="preserve">№ 423</w:t>
      </w:r>
      <w:r>
        <w:rPr>
          <w:rFonts w:eastAsia="Times New Roman"/>
          <w:sz w:val="16"/>
          <w:szCs w:val="16"/>
          <w:highlight w:val="none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7513" w:type="dxa"/>
        <w:tblInd w:w="1242" w:type="dxa"/>
        <w:tblLook w:val="01E0" w:firstRow="1" w:lastRow="1" w:firstColumn="1" w:lastColumn="1" w:noHBand="0" w:noVBand="0"/>
      </w:tblPr>
      <w:tblGrid>
        <w:gridCol w:w="7513"/>
      </w:tblGrid>
      <w:tr>
        <w:trPr>
          <w:trHeight w:val="701"/>
        </w:trPr>
        <w:tc>
          <w:tcPr>
            <w:tcW w:w="751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shd w:val="clear" w:color="auto" w:fill="ffffff"/>
                <w:lang w:eastAsia="en-US"/>
              </w:rPr>
              <w:t xml:space="preserve">Об организации проведения открытых конкурсов </w:t>
            </w:r>
            <w:r>
              <w:rPr>
                <w:rFonts w:eastAsia="Calibri"/>
                <w:b/>
                <w:sz w:val="28"/>
                <w:szCs w:val="28"/>
                <w:shd w:val="clear" w:color="auto" w:fill="ffffff"/>
                <w:lang w:eastAsia="en-US"/>
              </w:rPr>
              <w:br/>
              <w:t xml:space="preserve">по отбору управляющих организаций для управления многоквартирными домами на территории Грайворонского муниципального округа</w:t>
            </w:r>
            <w:r/>
          </w:p>
        </w:tc>
      </w:tr>
    </w:tbl>
    <w:p>
      <w:pPr>
        <w:ind w:firstLine="720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134" w:leader="none"/>
        </w:tabs>
        <w:rPr>
          <w:bCs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В соответствии с Федеральным </w:t>
      </w:r>
      <w:hyperlink r:id="rId12" w:tooltip="consultantplus://offline/ref=E241AE207EF27085E061C592DF4A3F31B58750BF07094B583D6CFE9EBAFEBE6A42461E80BCACB95534B115113DG7c7G" w:history="1">
        <w:r>
          <w:rPr>
            <w:rStyle w:val="705"/>
            <w:bCs/>
            <w:color w:val="000000" w:themeColor="text1"/>
            <w:sz w:val="28"/>
            <w:szCs w:val="28"/>
            <w:u w:val="none"/>
          </w:rPr>
          <w:t xml:space="preserve">законом</w:t>
        </w:r>
      </w:hyperlink>
      <w:r>
        <w:rPr>
          <w:bCs/>
          <w:color w:val="000000" w:themeColor="text1"/>
          <w:sz w:val="28"/>
          <w:szCs w:val="28"/>
        </w:rPr>
        <w:t xml:space="preserve"> от 06 октября 2003 года </w:t>
      </w:r>
      <w:r>
        <w:rPr>
          <w:bCs/>
          <w:color w:val="000000" w:themeColor="text1"/>
          <w:sz w:val="28"/>
          <w:szCs w:val="28"/>
        </w:rPr>
        <w:br/>
        <w:t xml:space="preserve">№ 131-ФЗ «Об общих принципах организации местного самоуправления </w:t>
      </w:r>
      <w:r>
        <w:rPr>
          <w:bCs/>
          <w:color w:val="000000" w:themeColor="text1"/>
          <w:sz w:val="28"/>
          <w:szCs w:val="28"/>
        </w:rPr>
        <w:br/>
        <w:t xml:space="preserve">в Российской Федерации», со </w:t>
      </w:r>
      <w:hyperlink r:id="rId13" w:tooltip="consultantplus://offline/ref=E241AE207EF27085E061C592DF4A3F31B58750B70F034B583D6CFE9EBAFEBE6A5046468CBDADA65531A443407B2069FA78AB855DC7BE5DF3G8cDG" w:history="1">
        <w:r>
          <w:rPr>
            <w:rStyle w:val="705"/>
            <w:bCs/>
            <w:color w:val="000000" w:themeColor="text1"/>
            <w:sz w:val="28"/>
            <w:szCs w:val="28"/>
            <w:u w:val="none"/>
          </w:rPr>
          <w:t xml:space="preserve">статьей 161</w:t>
        </w:r>
      </w:hyperlink>
      <w:r>
        <w:rPr>
          <w:bCs/>
          <w:color w:val="000000" w:themeColor="text1"/>
          <w:sz w:val="28"/>
          <w:szCs w:val="28"/>
        </w:rPr>
        <w:t xml:space="preserve"> Жилищного кодекса Российской Федерации, руководствуясь </w:t>
      </w:r>
      <w:hyperlink r:id="rId14" w:tooltip="consultantplus://offline/ref=E241AE207EF27085E061C592DF4A3F31B58554B5060A4B583D6CFE9EBAFEBE6A42461E80BCACB95534B115113DG7c7G" w:history="1">
        <w:r>
          <w:rPr>
            <w:rStyle w:val="705"/>
            <w:bCs/>
            <w:color w:val="000000" w:themeColor="text1"/>
            <w:sz w:val="28"/>
            <w:szCs w:val="28"/>
            <w:u w:val="none"/>
          </w:rPr>
          <w:t xml:space="preserve">постановлением</w:t>
        </w:r>
      </w:hyperlink>
      <w:r>
        <w:rPr>
          <w:bCs/>
          <w:sz w:val="28"/>
          <w:szCs w:val="28"/>
        </w:rPr>
        <w:t xml:space="preserve"> Правительства Российской Федерации от 06 февраля 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Устава Грайворонского муниципального округа Белгородской области</w:t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п о с т а н о в л я ю</w:t>
      </w:r>
      <w:r>
        <w:rPr>
          <w:bCs/>
          <w:sz w:val="28"/>
          <w:szCs w:val="28"/>
        </w:rPr>
        <w:t xml:space="preserve">:</w:t>
      </w:r>
      <w:r/>
    </w:p>
    <w:p>
      <w:pPr>
        <w:ind w:firstLine="709"/>
        <w:jc w:val="both"/>
        <w:tabs>
          <w:tab w:val="left" w:pos="1134" w:leader="none"/>
        </w:tabs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1.</w:t>
      </w:r>
      <w:r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 xml:space="preserve">Определить Управление ЖКХ, транспорта и ТЭК администра</w:t>
      </w:r>
      <w:r>
        <w:rPr>
          <w:bCs/>
          <w:color w:val="000000" w:themeColor="text1"/>
          <w:sz w:val="28"/>
          <w:szCs w:val="28"/>
        </w:rPr>
        <w:t xml:space="preserve">ции Грайворонского муниципального округа Белгородской области уполномоченным органом администрации Грайворонского муниципального округа по организации и проведению открытых конкурсов по отбору управляющих организаций для управления многоквартирными домами </w:t>
      </w:r>
      <w:r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 xml:space="preserve">на терри</w:t>
      </w:r>
      <w:r>
        <w:rPr>
          <w:bCs/>
          <w:color w:val="000000" w:themeColor="text1"/>
          <w:sz w:val="28"/>
          <w:szCs w:val="28"/>
        </w:rPr>
        <w:t xml:space="preserve">тории Грайворонского муниципального округа, собственниками помещений в которых не выбран способ управления или принятые такими собственниками решения о выборе способа управления многоквартирными домами не были реализованы в случаях, установленных Жилищным </w:t>
      </w:r>
      <w:hyperlink r:id="rId15" w:tooltip="consultantplus://offline/ref=CCFF3A264D9BCD02BBA868A1BAF32422448BA4EFE4FD03AAF7AE904BA1AC35513AB35610DCD3FECF5AE0DB79A8UFg9G" w:history="1">
        <w:r>
          <w:rPr>
            <w:rStyle w:val="705"/>
            <w:bCs/>
            <w:color w:val="000000" w:themeColor="text1"/>
            <w:sz w:val="28"/>
            <w:szCs w:val="28"/>
            <w:u w:val="none"/>
          </w:rPr>
          <w:t xml:space="preserve">кодексом</w:t>
        </w:r>
      </w:hyperlink>
      <w:r>
        <w:rPr>
          <w:bCs/>
          <w:color w:val="000000" w:themeColor="text1"/>
          <w:sz w:val="28"/>
          <w:szCs w:val="28"/>
        </w:rPr>
        <w:t xml:space="preserve"> Российской Федерации (далее - Организатор конкурса).</w:t>
      </w:r>
      <w:r/>
    </w:p>
    <w:p>
      <w:pPr>
        <w:ind w:firstLine="709"/>
        <w:jc w:val="both"/>
        <w:tabs>
          <w:tab w:val="left" w:pos="1134" w:leader="none"/>
        </w:tabs>
        <w:rPr>
          <w:bCs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2.</w:t>
      </w:r>
      <w:r>
        <w:rPr>
          <w:bCs/>
          <w:color w:val="000000" w:themeColor="text1"/>
          <w:sz w:val="28"/>
          <w:szCs w:val="28"/>
        </w:rPr>
        <w:tab/>
        <w:t xml:space="preserve">Организатору конкурса проводить открытые конкурсы по отбору управляющих организаций для управления многоквартирными домами </w:t>
      </w:r>
      <w:r>
        <w:rPr>
          <w:bCs/>
          <w:color w:val="000000" w:themeColor="text1"/>
          <w:sz w:val="28"/>
          <w:szCs w:val="28"/>
        </w:rPr>
        <w:br/>
        <w:t xml:space="preserve">на территории Грайворонского муниципального округа в соответствии </w:t>
      </w:r>
      <w:r>
        <w:rPr>
          <w:bCs/>
          <w:color w:val="000000" w:themeColor="text1"/>
          <w:sz w:val="28"/>
          <w:szCs w:val="28"/>
        </w:rPr>
        <w:br/>
      </w:r>
      <w:r>
        <w:rPr>
          <w:bCs/>
          <w:color w:val="000000" w:themeColor="text1"/>
          <w:sz w:val="28"/>
          <w:szCs w:val="28"/>
        </w:rPr>
        <w:t xml:space="preserve">с </w:t>
      </w:r>
      <w:hyperlink r:id="rId16" w:tooltip="consultantplus://offline/ref=0754072A00EE15647407794345D1C7DFB7339FABFC3438CC49278428269F1E53EF2196FDF73BA1A57A7F4C7FB3C1C5675891D0E6070D2FD1E3i0G" w:history="1">
        <w:r>
          <w:rPr>
            <w:rStyle w:val="705"/>
            <w:bCs/>
            <w:color w:val="000000" w:themeColor="text1"/>
            <w:sz w:val="28"/>
            <w:szCs w:val="28"/>
            <w:u w:val="none"/>
          </w:rPr>
          <w:t xml:space="preserve">Правилами</w:t>
        </w:r>
      </w:hyperlink>
      <w:r>
        <w:rPr>
          <w:bCs/>
          <w:color w:val="000000" w:themeColor="text1"/>
          <w:sz w:val="28"/>
          <w:szCs w:val="28"/>
        </w:rPr>
        <w:t xml:space="preserve"> проведения органом местного самоуправления открытого конкурса по отбору управляющей организации для управления многоквартирным</w:t>
      </w:r>
      <w:r>
        <w:rPr>
          <w:bCs/>
          <w:sz w:val="28"/>
          <w:szCs w:val="28"/>
        </w:rPr>
        <w:t xml:space="preserve"> домом, </w:t>
      </w:r>
      <w:r>
        <w:rPr>
          <w:bCs/>
          <w:sz w:val="28"/>
          <w:szCs w:val="28"/>
        </w:rPr>
        <w:t xml:space="preserve">утвержденными постановлением Правительства Российской Федерации от 06 февраля 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(далее - Правила).</w:t>
      </w:r>
      <w:r/>
    </w:p>
    <w:p>
      <w:pPr>
        <w:ind w:firstLine="709"/>
        <w:jc w:val="both"/>
        <w:tabs>
          <w:tab w:val="left" w:pos="1134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Утвердить Положение о постоянно действующей конкурсной комиссии по отбору управляющих организаций для управления многоквартирными домами на территории Грайворонского муниципального округа (прилагается).</w:t>
      </w:r>
      <w:r/>
    </w:p>
    <w:p>
      <w:pPr>
        <w:ind w:firstLine="709"/>
        <w:jc w:val="both"/>
        <w:tabs>
          <w:tab w:val="left" w:pos="1134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</w:t>
      </w:r>
      <w:r>
        <w:rPr>
          <w:bCs/>
          <w:sz w:val="28"/>
          <w:szCs w:val="28"/>
        </w:rPr>
        <w:tab/>
        <w:t xml:space="preserve">Признать утратившим силу постановление администрации Грайворонского городского округа от 28 февраля 2022 года №133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«Об организации проведения открытых конкурсов по отбору управляющих организаций для управления многоквартирными домами на территории Грайворонского городского округа».</w:t>
      </w:r>
      <w:r/>
    </w:p>
    <w:p>
      <w:pPr>
        <w:ind w:firstLine="709"/>
        <w:jc w:val="both"/>
        <w:tabs>
          <w:tab w:val="left" w:pos="1134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</w:t>
      </w:r>
      <w:r>
        <w:rPr>
          <w:bCs/>
          <w:sz w:val="28"/>
          <w:szCs w:val="28"/>
        </w:rPr>
        <w:tab/>
        <w:t xml:space="preserve">Опубликовать настоящее постановление в газете «Родной край»</w:t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  <w:t xml:space="preserve">сетевом издании «Родной край 31» (</w:t>
      </w:r>
      <w:r>
        <w:rPr>
          <w:bCs/>
          <w:sz w:val="28"/>
          <w:szCs w:val="28"/>
          <w:lang w:val="en-US"/>
        </w:rPr>
        <w:t xml:space="preserve">rodkray</w:t>
      </w:r>
      <w:r>
        <w:rPr>
          <w:bCs/>
          <w:sz w:val="28"/>
          <w:szCs w:val="28"/>
        </w:rPr>
        <w:t xml:space="preserve">31.</w:t>
      </w:r>
      <w:r>
        <w:rPr>
          <w:bCs/>
          <w:sz w:val="28"/>
          <w:szCs w:val="28"/>
          <w:lang w:val="en-US"/>
        </w:rPr>
        <w:t xml:space="preserve">ru</w:t>
      </w:r>
      <w:r>
        <w:rPr>
          <w:bCs/>
          <w:sz w:val="28"/>
          <w:szCs w:val="28"/>
        </w:rPr>
        <w:t xml:space="preserve">), разместить на официальном сайте органов местного самоуправления Грайворонского муниципального округа (</w:t>
      </w:r>
      <w:r>
        <w:rPr>
          <w:bCs/>
          <w:sz w:val="28"/>
          <w:szCs w:val="28"/>
          <w:lang w:val="en-US"/>
        </w:rPr>
        <w:t xml:space="preserve">grajvoron</w:t>
      </w:r>
      <w:r>
        <w:rPr>
          <w:bCs/>
          <w:sz w:val="28"/>
          <w:szCs w:val="28"/>
        </w:rPr>
        <w:t xml:space="preserve">-</w:t>
      </w:r>
      <w:r>
        <w:rPr>
          <w:bCs/>
          <w:sz w:val="28"/>
          <w:szCs w:val="28"/>
          <w:lang w:val="en-US"/>
        </w:rPr>
        <w:t xml:space="preserve">r</w:t>
      </w:r>
      <w:r>
        <w:rPr>
          <w:bCs/>
          <w:sz w:val="28"/>
          <w:szCs w:val="28"/>
        </w:rPr>
        <w:t xml:space="preserve">31.</w:t>
      </w:r>
      <w:r>
        <w:rPr>
          <w:bCs/>
          <w:sz w:val="28"/>
          <w:szCs w:val="28"/>
          <w:lang w:val="en-US"/>
        </w:rPr>
        <w:t xml:space="preserve">gosweb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  <w:lang w:val="en-US"/>
        </w:rPr>
        <w:t xml:space="preserve">gosuslugi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  <w:lang w:val="en-US"/>
        </w:rPr>
        <w:t xml:space="preserve">ru</w:t>
      </w:r>
      <w:r>
        <w:rPr>
          <w:bCs/>
          <w:sz w:val="28"/>
          <w:szCs w:val="28"/>
        </w:rPr>
        <w:t xml:space="preserve">).</w:t>
      </w:r>
      <w:r/>
    </w:p>
    <w:p>
      <w:pPr>
        <w:ind w:firstLine="709"/>
        <w:jc w:val="both"/>
        <w:tabs>
          <w:tab w:val="left" w:pos="1134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Контроль за исполнением постановления возложить </w:t>
      </w:r>
      <w:r>
        <w:rPr>
          <w:bCs/>
          <w:sz w:val="28"/>
          <w:szCs w:val="28"/>
        </w:rPr>
        <w:t xml:space="preserve">на исполняющего обязанности заместителя главы администрации муниципального округа </w:t>
      </w:r>
      <w:r>
        <w:rPr>
          <w:bCs/>
          <w:sz w:val="28"/>
          <w:szCs w:val="28"/>
        </w:rPr>
        <w:t xml:space="preserve">-</w:t>
      </w:r>
      <w:r>
        <w:rPr>
          <w:bCs/>
          <w:sz w:val="28"/>
          <w:szCs w:val="28"/>
        </w:rPr>
        <w:t xml:space="preserve"> начальника Управления ЖКХ, транспорта и ТЭК администрации Грайворонского муниципального округа А.В. Казанцева.</w:t>
      </w:r>
      <w:r/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828"/>
        <w:gridCol w:w="5811"/>
      </w:tblGrid>
      <w:tr>
        <w:trPr/>
        <w:tc>
          <w:tcPr>
            <w:tcW w:w="3828" w:type="dxa"/>
            <w:textDirection w:val="lrTb"/>
            <w:noWrap w:val="false"/>
          </w:tcPr>
          <w:p>
            <w:pPr>
              <w:ind w:left="-10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</w:t>
            </w:r>
            <w:r>
              <w:rPr>
                <w:b/>
                <w:sz w:val="28"/>
                <w:szCs w:val="28"/>
              </w:rPr>
              <w:t xml:space="preserve"> администрации</w:t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ind w:right="-10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Д.А. Панков</w:t>
            </w:r>
            <w:r/>
          </w:p>
        </w:tc>
      </w:tr>
    </w:tbl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528"/>
      </w:tblGrid>
      <w:tr>
        <w:trPr/>
        <w:tc>
          <w:tcPr>
            <w:tcW w:w="4219" w:type="dxa"/>
            <w:textDirection w:val="lrTb"/>
            <w:noWrap w:val="false"/>
          </w:tcPr>
          <w:p>
            <w:pPr>
              <w:ind w:right="21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/>
          </w:p>
        </w:tc>
        <w:tc>
          <w:tcPr>
            <w:tcW w:w="5528" w:type="dxa"/>
            <w:textDirection w:val="lrTb"/>
            <w:noWrap w:val="false"/>
          </w:tcPr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ПРИЛОЖЕНИЕ </w:t>
            </w:r>
            <w:r/>
          </w:p>
          <w:p>
            <w:pPr>
              <w:ind w:left="-108" w:right="-114"/>
              <w:jc w:val="center"/>
              <w:widowControl w:val="off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</w:r>
            <w:r/>
          </w:p>
          <w:p>
            <w:pPr>
              <w:ind w:left="-108" w:right="-114"/>
              <w:jc w:val="center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Утвержден</w:t>
            </w:r>
            <w:r>
              <w:rPr>
                <w:b/>
                <w:bCs/>
                <w:caps/>
                <w:sz w:val="28"/>
                <w:szCs w:val="28"/>
              </w:rPr>
              <w:t xml:space="preserve">О</w:t>
            </w:r>
            <w:r/>
          </w:p>
          <w:p>
            <w:pPr>
              <w:ind w:left="-108" w:right="-114"/>
              <w:jc w:val="center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постановлением администрации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Грайворонского </w:t>
            </w:r>
            <w:r>
              <w:rPr>
                <w:b/>
                <w:sz w:val="28"/>
                <w:szCs w:val="28"/>
              </w:rPr>
              <w:t xml:space="preserve"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Белгородской области</w:t>
            </w:r>
            <w:r/>
          </w:p>
          <w:p>
            <w:pPr>
              <w:ind w:right="2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«19</w:t>
            </w:r>
            <w:r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  <w:t xml:space="preserve">августа 2026</w:t>
            </w:r>
            <w:r>
              <w:rPr>
                <w:b/>
                <w:sz w:val="28"/>
                <w:szCs w:val="28"/>
              </w:rPr>
              <w:t xml:space="preserve"> г. №423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ind w:right="2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keepLines/>
        <w:keepNext/>
        <w:shd w:val="clear" w:color="auto" w:fill="ffffff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ПОЛОЖЕНИЕ</w:t>
      </w:r>
      <w:r/>
    </w:p>
    <w:p>
      <w:pPr>
        <w:jc w:val="center"/>
        <w:tabs>
          <w:tab w:val="left" w:pos="1134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постоянно действующей конкурсной комиссии </w:t>
      </w:r>
      <w:r/>
    </w:p>
    <w:p>
      <w:pPr>
        <w:jc w:val="center"/>
        <w:tabs>
          <w:tab w:val="left" w:pos="1134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отбору управляющих организаций для управления </w:t>
      </w:r>
      <w:r/>
    </w:p>
    <w:p>
      <w:pPr>
        <w:jc w:val="center"/>
        <w:tabs>
          <w:tab w:val="left" w:pos="1134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многоквартирными домами на территории</w:t>
      </w:r>
      <w:r/>
    </w:p>
    <w:p>
      <w:pPr>
        <w:jc w:val="center"/>
        <w:tabs>
          <w:tab w:val="left" w:pos="1134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Грайворонского муниципального округа</w:t>
      </w:r>
      <w:r/>
    </w:p>
    <w:p>
      <w:pPr>
        <w:jc w:val="center"/>
        <w:tabs>
          <w:tab w:val="left" w:pos="1134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jc w:val="center"/>
        <w:tabs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1. Общие положения</w:t>
      </w:r>
      <w:r/>
    </w:p>
    <w:p>
      <w:pPr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1.1.</w:t>
      </w:r>
      <w:r>
        <w:rPr>
          <w:sz w:val="28"/>
          <w:szCs w:val="28"/>
        </w:rPr>
        <w:tab/>
        <w:t xml:space="preserve">Положение о постоянно действующей конкурсной комиссии </w:t>
      </w:r>
      <w:r>
        <w:rPr>
          <w:sz w:val="28"/>
          <w:szCs w:val="28"/>
        </w:rPr>
        <w:br/>
        <w:t xml:space="preserve">по отбору управляющих организаций для управления многоквартирными домами на территории Грайворонского муниципального округа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(далее - Положение) устанавливает полномочия, порядок формирования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работы постоянно действующей конкурсной комиссии по отбору управляющих организаций для управления многоквартирными домами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территории Грайворонского муниципального округа (далее - Комиссия).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1.2.</w:t>
      </w:r>
      <w:r>
        <w:rPr>
          <w:sz w:val="28"/>
          <w:szCs w:val="28"/>
        </w:rPr>
        <w:tab/>
        <w:t xml:space="preserve">Комиссия создается в целях определения управляющих организаций для управления многоквартирными домами, собственники помещений </w:t>
      </w:r>
      <w:r>
        <w:rPr>
          <w:sz w:val="28"/>
          <w:szCs w:val="28"/>
        </w:rPr>
        <w:br/>
        <w:t xml:space="preserve">в которых не выбрали способ управления или принятые такими собственниками решения о выборе способа управления многоквартирными домами не были реализованы в случаях, установленных Жилищным кодексом Российской Федерации.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1.3.</w:t>
      </w:r>
      <w:r>
        <w:rPr>
          <w:sz w:val="28"/>
          <w:szCs w:val="28"/>
        </w:rPr>
        <w:tab/>
        <w:t xml:space="preserve">Комиссия в своей деятельности руководствуется Конституцией Российской Федерации, Гражданским кодексом Российской Федерации, Жилищным кодексом Российской Федерации, постановлением Правительства Россий</w:t>
      </w:r>
      <w:r>
        <w:rPr>
          <w:sz w:val="28"/>
          <w:szCs w:val="28"/>
        </w:rPr>
        <w:t xml:space="preserve">ской Федерации от 06 февраля 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Уставом Грайворонского муниципального округа Белгородской области.</w:t>
      </w:r>
      <w:r/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2. Формирование Комиссии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2.1.</w:t>
      </w:r>
      <w:r>
        <w:rPr>
          <w:sz w:val="28"/>
          <w:szCs w:val="28"/>
        </w:rPr>
        <w:tab/>
        <w:t xml:space="preserve">Состав Комиссии утверждается распоряжением администрации Грайворонского муниципального округа сроком на два года.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2.2.</w:t>
      </w:r>
      <w:r>
        <w:rPr>
          <w:sz w:val="28"/>
          <w:szCs w:val="28"/>
        </w:rPr>
        <w:tab/>
        <w:t xml:space="preserve">В состав Комиссии д</w:t>
      </w:r>
      <w:r>
        <w:rPr>
          <w:sz w:val="28"/>
          <w:szCs w:val="28"/>
        </w:rPr>
        <w:t xml:space="preserve">олжно входить не менее 5 человек, в том числе должностные лица администрации Грайворонского муниципального округа Белгородской области, а также депутаты Совета депутатов Грайворонского муниципального округа Белгородской области - в случае их делегирования.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2.3.</w:t>
      </w:r>
      <w:r>
        <w:rPr>
          <w:sz w:val="28"/>
          <w:szCs w:val="28"/>
        </w:rPr>
        <w:tab/>
        <w:t xml:space="preserve">Членами Комиссии не могут быть физические лица, лично заинтересованные в результатах конкурса (в том числе лица, являющиеся претендентами, участниками конкурса или состоящие в трудовых отношениях </w:t>
      </w:r>
      <w:r>
        <w:rPr>
          <w:sz w:val="28"/>
          <w:szCs w:val="28"/>
        </w:rPr>
        <w:br/>
        <w:t xml:space="preserve">с организациями, являю</w:t>
      </w:r>
      <w:r>
        <w:rPr>
          <w:sz w:val="28"/>
          <w:szCs w:val="28"/>
        </w:rPr>
        <w:t xml:space="preserve">щимися претендентами, участниками конкурса, а также родственники претендента (участника конкурса) - физического лица (физических лиц), состоящего в трудовых отношениях с организациями, являющимися претендентами, участниками конкурса, либо физические лица, </w:t>
      </w:r>
      <w:r>
        <w:rPr>
          <w:sz w:val="28"/>
          <w:szCs w:val="28"/>
        </w:rPr>
        <w:br/>
        <w:t xml:space="preserve">на которых способны оказывать влияние претенденты, участники конкурса </w:t>
      </w:r>
      <w:r>
        <w:rPr>
          <w:sz w:val="28"/>
          <w:szCs w:val="28"/>
        </w:rPr>
        <w:br/>
        <w:t xml:space="preserve">(в том числе лица, являющиеся участниками (акционерами) указанных организаций</w:t>
      </w:r>
      <w:r>
        <w:rPr>
          <w:sz w:val="28"/>
          <w:szCs w:val="28"/>
        </w:rPr>
        <w:t xml:space="preserve">, членами их органов управления, кредиторами участников конкурса). В случае выявления таких лиц в составе Комиссии Организатор конкурса обязан принять меры к незамедлительному исключению их из состава Комиссии и назначению иных лиц в установленном порядке.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2.4.</w:t>
      </w:r>
      <w:r>
        <w:rPr>
          <w:sz w:val="28"/>
          <w:szCs w:val="28"/>
        </w:rPr>
        <w:tab/>
        <w:t xml:space="preserve">Руководство работой Комиссии осуществляет председатель Комиссии, а в его отсутствие - заместитель председателя.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3. Полномочия Комиссии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3.1.</w:t>
      </w:r>
      <w:r>
        <w:rPr>
          <w:sz w:val="28"/>
          <w:szCs w:val="28"/>
        </w:rPr>
        <w:tab/>
        <w:t xml:space="preserve">Комиссия при проведении открытого конкурса по отбору управляющих организаций для управления многоквартирными домами </w:t>
      </w:r>
      <w:r>
        <w:rPr>
          <w:sz w:val="28"/>
          <w:szCs w:val="28"/>
        </w:rPr>
        <w:br/>
        <w:t xml:space="preserve">на территории Грайворонского муниципального округа (далее - конкурс) обладает следующими полномочиями: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3.2.</w:t>
      </w:r>
      <w:r>
        <w:rPr>
          <w:sz w:val="28"/>
          <w:szCs w:val="28"/>
        </w:rPr>
        <w:tab/>
        <w:t xml:space="preserve">Рассматривает заявки на участие в конкурсе и принимает решение </w:t>
      </w:r>
      <w:r>
        <w:rPr>
          <w:sz w:val="28"/>
          <w:szCs w:val="28"/>
        </w:rPr>
        <w:br/>
        <w:t xml:space="preserve">о признании претендента участником конкурса или об отказе в допуске </w:t>
      </w:r>
      <w:r>
        <w:rPr>
          <w:sz w:val="28"/>
          <w:szCs w:val="28"/>
        </w:rPr>
        <w:br/>
        <w:t xml:space="preserve">к участию в конкурсе претендента либо об отстранении участника конкурса </w:t>
      </w:r>
      <w:r>
        <w:rPr>
          <w:sz w:val="28"/>
          <w:szCs w:val="28"/>
        </w:rPr>
        <w:br/>
        <w:t xml:space="preserve">от участия в конкурсе.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</w:t>
      </w:r>
      <w:r>
        <w:rPr>
          <w:sz w:val="28"/>
          <w:szCs w:val="28"/>
        </w:rPr>
        <w:tab/>
        <w:t xml:space="preserve">Проводит конкурс.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</w:t>
      </w:r>
      <w:r>
        <w:rPr>
          <w:sz w:val="28"/>
          <w:szCs w:val="28"/>
        </w:rPr>
        <w:tab/>
        <w:t xml:space="preserve">Направляет претендентам, не допущенным к участию в конкурсе, уведомления о принятых Комиссией решениях не позднее 1 рабочего дня, следующего за днем подписания протокола рассмотрения заявок на участие </w:t>
      </w:r>
      <w:r>
        <w:rPr>
          <w:sz w:val="28"/>
          <w:szCs w:val="28"/>
        </w:rPr>
        <w:br/>
        <w:t xml:space="preserve">в конкурсе.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4. Права и обязанности председателя, секретаря и членов Комиссии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4.1.</w:t>
      </w:r>
      <w:r>
        <w:rPr>
          <w:sz w:val="28"/>
          <w:szCs w:val="28"/>
        </w:rPr>
        <w:tab/>
        <w:t xml:space="preserve">Председатель Комиссии: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4.1.1.</w:t>
      </w:r>
      <w:r>
        <w:rPr>
          <w:sz w:val="28"/>
          <w:szCs w:val="28"/>
        </w:rPr>
        <w:tab/>
        <w:t xml:space="preserve">Руководит работой Комиссии.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4.1.2.</w:t>
      </w:r>
      <w:r>
        <w:rPr>
          <w:sz w:val="28"/>
          <w:szCs w:val="28"/>
        </w:rPr>
        <w:tab/>
        <w:t xml:space="preserve">Объявляет заседание Комиссии правомочным или выносит решение о его переносе из-за отсутствия кворума.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4.1.3.</w:t>
      </w:r>
      <w:r>
        <w:rPr>
          <w:sz w:val="28"/>
          <w:szCs w:val="28"/>
        </w:rPr>
        <w:tab/>
        <w:t xml:space="preserve">Открывает и ведет заседания.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4.1.4.</w:t>
      </w:r>
      <w:r>
        <w:rPr>
          <w:sz w:val="28"/>
          <w:szCs w:val="28"/>
        </w:rPr>
        <w:tab/>
        <w:t xml:space="preserve">Объявляет повестку дня.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4.1.5.</w:t>
      </w:r>
      <w:r>
        <w:rPr>
          <w:sz w:val="28"/>
          <w:szCs w:val="28"/>
        </w:rPr>
        <w:tab/>
        <w:t xml:space="preserve">Подводит итоги голосования и объявляет принятые решения.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4.1.6.</w:t>
      </w:r>
      <w:r>
        <w:rPr>
          <w:sz w:val="28"/>
          <w:szCs w:val="28"/>
        </w:rPr>
        <w:tab/>
        <w:t xml:space="preserve">Подписывает от имени Комиссии необходимые документы.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4.1.7.</w:t>
      </w:r>
      <w:r>
        <w:rPr>
          <w:sz w:val="28"/>
          <w:szCs w:val="28"/>
        </w:rPr>
        <w:tab/>
        <w:t xml:space="preserve">Совершает иные действия в соответствии с законодательством Российской Федерации, а также настоящим Положением.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4.2.</w:t>
      </w:r>
      <w:r>
        <w:rPr>
          <w:sz w:val="28"/>
          <w:szCs w:val="28"/>
        </w:rPr>
        <w:tab/>
        <w:t xml:space="preserve">Секретарь комиссии: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4.2.1.</w:t>
      </w:r>
      <w:r>
        <w:rPr>
          <w:sz w:val="28"/>
          <w:szCs w:val="28"/>
        </w:rPr>
        <w:tab/>
        <w:t xml:space="preserve">Осу</w:t>
      </w:r>
      <w:r>
        <w:rPr>
          <w:sz w:val="28"/>
          <w:szCs w:val="28"/>
        </w:rPr>
        <w:t xml:space="preserve">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 их полномочиям, в том числе извещает членов Комиссии о дате, времени и месте проведения заседаний.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4.2.2.</w:t>
      </w:r>
      <w:r>
        <w:rPr>
          <w:sz w:val="28"/>
          <w:szCs w:val="28"/>
        </w:rPr>
        <w:tab/>
        <w:t xml:space="preserve">Оформляет протоколы Комиссии.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4.2.3.</w:t>
      </w:r>
      <w:r>
        <w:rPr>
          <w:sz w:val="28"/>
          <w:szCs w:val="28"/>
        </w:rPr>
        <w:tab/>
        <w:t xml:space="preserve">Осуществляет иные действия организационно-технического характера.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4.3.</w:t>
      </w:r>
      <w:r>
        <w:rPr>
          <w:sz w:val="28"/>
          <w:szCs w:val="28"/>
        </w:rPr>
        <w:tab/>
        <w:t xml:space="preserve">Члены Комиссии: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4.3.1.</w:t>
      </w:r>
      <w:r>
        <w:rPr>
          <w:sz w:val="28"/>
          <w:szCs w:val="28"/>
        </w:rPr>
        <w:tab/>
        <w:t xml:space="preserve">Лично присутствуют на заседаниях Комиссии.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4.3.2.</w:t>
      </w:r>
      <w:r>
        <w:rPr>
          <w:sz w:val="28"/>
          <w:szCs w:val="28"/>
        </w:rPr>
        <w:tab/>
        <w:t xml:space="preserve">Принимают решения по вопросам, отнесенным к компетенции Комиссии, путем обсуждения и голосования.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5. Заседание Комиссии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5.1.</w:t>
      </w:r>
      <w:r>
        <w:rPr>
          <w:sz w:val="28"/>
          <w:szCs w:val="28"/>
        </w:rPr>
        <w:tab/>
        <w:t xml:space="preserve">Секретарь Комиссии уведомляет членов Комиссии о месте, дате </w:t>
      </w:r>
      <w:r>
        <w:rPr>
          <w:sz w:val="28"/>
          <w:szCs w:val="28"/>
        </w:rPr>
        <w:br/>
        <w:t xml:space="preserve">и времени проведения заседания Комиссии не менее чем за 5 рабочих дней </w:t>
      </w:r>
      <w:r>
        <w:rPr>
          <w:sz w:val="28"/>
          <w:szCs w:val="28"/>
        </w:rPr>
        <w:br/>
        <w:t xml:space="preserve">до даты заседания. Секретарь Комиссии обладает правом голоса при принятии решений Комиссией.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5.2.</w:t>
      </w:r>
      <w:r>
        <w:rPr>
          <w:sz w:val="28"/>
          <w:szCs w:val="28"/>
        </w:rPr>
        <w:tab/>
        <w:t xml:space="preserve">Комиссия правомочна, если на заседании присутствуют более </w:t>
      </w:r>
      <w:r>
        <w:rPr>
          <w:sz w:val="28"/>
          <w:szCs w:val="28"/>
        </w:rPr>
        <w:br/>
        <w:t xml:space="preserve">50 процентов общего числа ее членов.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</w:t>
      </w:r>
      <w:r>
        <w:rPr>
          <w:sz w:val="28"/>
          <w:szCs w:val="28"/>
        </w:rPr>
        <w:tab/>
        <w:t xml:space="preserve">Каждый член Комиссии имеет 1 голос.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5.4.</w:t>
      </w:r>
      <w:r>
        <w:rPr>
          <w:sz w:val="28"/>
          <w:szCs w:val="28"/>
        </w:rPr>
        <w:tab/>
        <w:t xml:space="preserve">Решения Комиссии принимаются простым большинством голосов членов Комиссии, принявших участие в ее заседании. При равенстве голосов решение принимается председателем Комиссии.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5.5.</w:t>
      </w:r>
      <w:r>
        <w:rPr>
          <w:sz w:val="28"/>
          <w:szCs w:val="28"/>
        </w:rPr>
        <w:tab/>
        <w:t xml:space="preserve">Решения Комиссии в день их принятия оформляются протоколами, которые подписывают члены Комиссии, принявшие участие в заседании. </w:t>
      </w:r>
      <w:r>
        <w:rPr>
          <w:sz w:val="28"/>
          <w:szCs w:val="28"/>
        </w:rPr>
        <w:br/>
        <w:t xml:space="preserve">Не допускается заполнение протоколов карандашом и внесение в них исправлений.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5.6.</w:t>
      </w:r>
      <w:r>
        <w:rPr>
          <w:sz w:val="28"/>
          <w:szCs w:val="28"/>
        </w:rPr>
        <w:tab/>
        <w:t xml:space="preserve">На заседаниях Комиссии могут присутствовать претенденты, участники конкурса или их представители, а также представители средств массовой информации.</w:t>
      </w:r>
      <w:r/>
    </w:p>
    <w:p>
      <w:pPr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6. Ответственность Комиссии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Любые действия (бездействие) и решения Комиссии могут быть обжалованы в установленном порядке, если такие действия (бездействие) нарушают права и законные интересы участников.</w:t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964317499"/>
      <w:docPartObj>
        <w:docPartGallery w:val="Page Numbers (Top of Page)"/>
        <w:docPartUnique w:val="true"/>
      </w:docPartObj>
      <w:rPr/>
    </w:sdtPr>
    <w:sdtContent>
      <w:p>
        <w:pPr>
          <w:pStyle w:val="69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9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5" w:hanging="360"/>
        <w:tabs>
          <w:tab w:val="num" w:pos="1495" w:leader="none"/>
        </w:tabs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  <w:tabs>
          <w:tab w:val="num" w:pos="221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  <w:tabs>
          <w:tab w:val="num" w:pos="293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  <w:tabs>
          <w:tab w:val="num" w:pos="365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  <w:tabs>
          <w:tab w:val="num" w:pos="437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  <w:tabs>
          <w:tab w:val="num" w:pos="509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  <w:tabs>
          <w:tab w:val="num" w:pos="581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  <w:tabs>
          <w:tab w:val="num" w:pos="653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  <w:tabs>
          <w:tab w:val="num" w:pos="7255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4" w:hanging="1224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6" w:hanging="12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8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3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0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7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4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913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976" w:hanging="360"/>
      </w:pPr>
      <w:rPr>
        <w:rFonts w:hint="default" w:ascii="Times New Roman" w:hAnsi="Times New Roman" w:cs="Times New Roman"/>
        <w:color w:val="3c3c3c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36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1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8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5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2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73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5"/>
    <w:next w:val="67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5"/>
    <w:next w:val="67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5"/>
    <w:next w:val="67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5"/>
    <w:next w:val="67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5"/>
    <w:next w:val="67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5"/>
    <w:next w:val="67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5"/>
    <w:next w:val="67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5"/>
    <w:next w:val="67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5"/>
    <w:next w:val="67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5"/>
    <w:next w:val="67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6"/>
    <w:link w:val="34"/>
    <w:uiPriority w:val="10"/>
    <w:rPr>
      <w:sz w:val="48"/>
      <w:szCs w:val="48"/>
    </w:rPr>
  </w:style>
  <w:style w:type="paragraph" w:styleId="36">
    <w:name w:val="Subtitle"/>
    <w:basedOn w:val="675"/>
    <w:next w:val="67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6"/>
    <w:link w:val="36"/>
    <w:uiPriority w:val="11"/>
    <w:rPr>
      <w:sz w:val="24"/>
      <w:szCs w:val="24"/>
    </w:rPr>
  </w:style>
  <w:style w:type="paragraph" w:styleId="38">
    <w:name w:val="Quote"/>
    <w:basedOn w:val="675"/>
    <w:next w:val="67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5"/>
    <w:next w:val="67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6"/>
    <w:link w:val="697"/>
    <w:uiPriority w:val="99"/>
  </w:style>
  <w:style w:type="character" w:styleId="45">
    <w:name w:val="Footer Char"/>
    <w:basedOn w:val="676"/>
    <w:link w:val="699"/>
    <w:uiPriority w:val="99"/>
  </w:style>
  <w:style w:type="paragraph" w:styleId="46">
    <w:name w:val="Caption"/>
    <w:basedOn w:val="675"/>
    <w:next w:val="6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9"/>
    <w:uiPriority w:val="99"/>
  </w:style>
  <w:style w:type="table" w:styleId="49">
    <w:name w:val="Table Grid Light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6"/>
    <w:uiPriority w:val="99"/>
    <w:unhideWhenUsed/>
    <w:rPr>
      <w:vertAlign w:val="superscript"/>
    </w:rPr>
  </w:style>
  <w:style w:type="paragraph" w:styleId="178">
    <w:name w:val="endnote text"/>
    <w:basedOn w:val="67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6"/>
    <w:uiPriority w:val="99"/>
    <w:semiHidden/>
    <w:unhideWhenUsed/>
    <w:rPr>
      <w:vertAlign w:val="superscript"/>
    </w:rPr>
  </w:style>
  <w:style w:type="paragraph" w:styleId="181">
    <w:name w:val="toc 1"/>
    <w:basedOn w:val="675"/>
    <w:next w:val="67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5"/>
    <w:next w:val="67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5"/>
    <w:next w:val="67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5"/>
    <w:next w:val="67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5"/>
    <w:next w:val="67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5"/>
    <w:next w:val="67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5"/>
    <w:next w:val="67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5"/>
    <w:next w:val="67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5"/>
    <w:next w:val="67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5"/>
    <w:next w:val="675"/>
    <w:uiPriority w:val="99"/>
    <w:unhideWhenUsed/>
    <w:pPr>
      <w:spacing w:after="0" w:afterAutospacing="0"/>
    </w:pPr>
  </w:style>
  <w:style w:type="paragraph" w:styleId="675" w:default="1">
    <w:name w:val="Normal"/>
    <w:qFormat/>
    <w:rPr>
      <w:rFonts w:ascii="Times New Roman" w:hAnsi="Times New Roman" w:cs="Times New Roman"/>
      <w:sz w:val="24"/>
      <w:szCs w:val="24"/>
    </w:rPr>
  </w:style>
  <w:style w:type="character" w:styleId="676" w:default="1">
    <w:name w:val="Default Paragraph Font"/>
    <w:uiPriority w:val="1"/>
    <w:semiHidden/>
    <w:unhideWhenUsed/>
  </w:style>
  <w:style w:type="table" w:styleId="6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8" w:default="1">
    <w:name w:val="No List"/>
    <w:uiPriority w:val="99"/>
    <w:semiHidden/>
    <w:unhideWhenUsed/>
  </w:style>
  <w:style w:type="paragraph" w:styleId="679">
    <w:name w:val="Body Text"/>
    <w:basedOn w:val="675"/>
    <w:link w:val="680"/>
    <w:pPr>
      <w:spacing w:after="120"/>
    </w:pPr>
    <w:rPr>
      <w:sz w:val="20"/>
      <w:szCs w:val="20"/>
    </w:rPr>
  </w:style>
  <w:style w:type="character" w:styleId="680" w:customStyle="1">
    <w:name w:val="Основной текст Знак"/>
    <w:basedOn w:val="676"/>
    <w:link w:val="679"/>
    <w:rPr>
      <w:rFonts w:ascii="Times New Roman" w:hAnsi="Times New Roman" w:cs="Times New Roman"/>
    </w:rPr>
  </w:style>
  <w:style w:type="paragraph" w:styleId="681">
    <w:name w:val="Body Text Indent 2"/>
    <w:basedOn w:val="675"/>
    <w:link w:val="682"/>
    <w:pPr>
      <w:ind w:left="283"/>
      <w:spacing w:after="120" w:line="480" w:lineRule="auto"/>
    </w:pPr>
    <w:rPr>
      <w:sz w:val="20"/>
      <w:szCs w:val="20"/>
    </w:rPr>
  </w:style>
  <w:style w:type="character" w:styleId="682" w:customStyle="1">
    <w:name w:val="Основной текст с отступом 2 Знак"/>
    <w:basedOn w:val="676"/>
    <w:link w:val="681"/>
    <w:rPr>
      <w:rFonts w:ascii="Times New Roman" w:hAnsi="Times New Roman" w:cs="Times New Roman"/>
    </w:rPr>
  </w:style>
  <w:style w:type="paragraph" w:styleId="683">
    <w:name w:val="Balloon Text"/>
    <w:basedOn w:val="675"/>
    <w:link w:val="684"/>
    <w:uiPriority w:val="99"/>
    <w:semiHidden/>
    <w:unhideWhenUsed/>
    <w:rPr>
      <w:rFonts w:ascii="Tahoma" w:hAnsi="Tahoma" w:cs="Tahoma"/>
      <w:sz w:val="16"/>
      <w:szCs w:val="16"/>
    </w:rPr>
  </w:style>
  <w:style w:type="character" w:styleId="684" w:customStyle="1">
    <w:name w:val="Текст выноски Знак"/>
    <w:basedOn w:val="676"/>
    <w:link w:val="683"/>
    <w:uiPriority w:val="99"/>
    <w:semiHidden/>
    <w:rPr>
      <w:rFonts w:ascii="Tahoma" w:hAnsi="Tahoma" w:cs="Tahoma"/>
      <w:sz w:val="16"/>
      <w:szCs w:val="16"/>
    </w:rPr>
  </w:style>
  <w:style w:type="paragraph" w:styleId="685" w:customStyle="1">
    <w:name w:val="ConsPlusNormal"/>
    <w:uiPriority w:val="99"/>
    <w:pPr>
      <w:jc w:val="both"/>
      <w:widowControl w:val="off"/>
    </w:pPr>
    <w:rPr>
      <w:rFonts w:ascii="Arial" w:hAnsi="Arial" w:cs="Arial"/>
    </w:rPr>
  </w:style>
  <w:style w:type="paragraph" w:styleId="686">
    <w:name w:val="List Paragraph"/>
    <w:basedOn w:val="675"/>
    <w:uiPriority w:val="34"/>
    <w:qFormat/>
    <w:pPr>
      <w:contextualSpacing/>
      <w:ind w:left="720"/>
    </w:pPr>
  </w:style>
  <w:style w:type="paragraph" w:styleId="687">
    <w:name w:val="Normal (Web)"/>
    <w:basedOn w:val="675"/>
    <w:uiPriority w:val="99"/>
    <w:unhideWhenUsed/>
    <w:pPr>
      <w:spacing w:before="100" w:beforeAutospacing="1" w:after="100" w:afterAutospacing="1"/>
    </w:pPr>
  </w:style>
  <w:style w:type="paragraph" w:styleId="688" w:customStyle="1">
    <w:name w:val="paragraph"/>
    <w:basedOn w:val="675"/>
    <w:pPr>
      <w:spacing w:before="100" w:beforeAutospacing="1" w:after="100" w:afterAutospacing="1"/>
    </w:pPr>
  </w:style>
  <w:style w:type="character" w:styleId="689" w:customStyle="1">
    <w:name w:val="normaltextrun"/>
    <w:basedOn w:val="676"/>
  </w:style>
  <w:style w:type="character" w:styleId="690" w:customStyle="1">
    <w:name w:val="scxw111914594"/>
    <w:basedOn w:val="676"/>
  </w:style>
  <w:style w:type="character" w:styleId="691" w:customStyle="1">
    <w:name w:val="eop"/>
    <w:basedOn w:val="676"/>
  </w:style>
  <w:style w:type="character" w:styleId="692" w:customStyle="1">
    <w:name w:val="tabchar"/>
    <w:basedOn w:val="676"/>
  </w:style>
  <w:style w:type="character" w:styleId="693" w:customStyle="1">
    <w:name w:val="spellingerror"/>
    <w:basedOn w:val="676"/>
  </w:style>
  <w:style w:type="character" w:styleId="694" w:customStyle="1">
    <w:name w:val="Основной текст (2)_"/>
    <w:basedOn w:val="676"/>
    <w:link w:val="695"/>
    <w:uiPriority w:val="99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styleId="695" w:customStyle="1">
    <w:name w:val="Основной текст (2)"/>
    <w:basedOn w:val="675"/>
    <w:link w:val="694"/>
    <w:uiPriority w:val="99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696" w:customStyle="1">
    <w:name w:val="docdata"/>
    <w:basedOn w:val="675"/>
    <w:pPr>
      <w:spacing w:before="100" w:beforeAutospacing="1" w:after="100" w:afterAutospacing="1"/>
    </w:pPr>
  </w:style>
  <w:style w:type="paragraph" w:styleId="697">
    <w:name w:val="Header"/>
    <w:basedOn w:val="675"/>
    <w:link w:val="69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8" w:customStyle="1">
    <w:name w:val="Верхний колонтитул Знак"/>
    <w:basedOn w:val="676"/>
    <w:link w:val="697"/>
    <w:uiPriority w:val="99"/>
    <w:rPr>
      <w:rFonts w:ascii="Times New Roman" w:hAnsi="Times New Roman" w:cs="Times New Roman"/>
      <w:sz w:val="24"/>
      <w:szCs w:val="24"/>
    </w:rPr>
  </w:style>
  <w:style w:type="paragraph" w:styleId="699">
    <w:name w:val="Footer"/>
    <w:basedOn w:val="675"/>
    <w:link w:val="700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700" w:customStyle="1">
    <w:name w:val="Нижний колонтитул Знак"/>
    <w:basedOn w:val="676"/>
    <w:link w:val="699"/>
    <w:uiPriority w:val="99"/>
    <w:semiHidden/>
    <w:rPr>
      <w:rFonts w:ascii="Times New Roman" w:hAnsi="Times New Roman" w:cs="Times New Roman"/>
      <w:sz w:val="24"/>
      <w:szCs w:val="24"/>
    </w:rPr>
  </w:style>
  <w:style w:type="table" w:styleId="701">
    <w:name w:val="Table Grid"/>
    <w:basedOn w:val="67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02" w:customStyle="1">
    <w:name w:val="Содержимое таблицы"/>
    <w:basedOn w:val="675"/>
    <w:pPr>
      <w:suppressLineNumbers/>
    </w:pPr>
    <w:rPr>
      <w:lang w:eastAsia="ar-SA"/>
    </w:rPr>
  </w:style>
  <w:style w:type="paragraph" w:styleId="703">
    <w:name w:val="Body Text 2"/>
    <w:basedOn w:val="675"/>
    <w:link w:val="704"/>
    <w:uiPriority w:val="99"/>
    <w:semiHidden/>
    <w:unhideWhenUsed/>
    <w:pPr>
      <w:spacing w:after="120" w:line="480" w:lineRule="auto"/>
    </w:pPr>
  </w:style>
  <w:style w:type="character" w:styleId="704" w:customStyle="1">
    <w:name w:val="Основной текст 2 Знак"/>
    <w:basedOn w:val="676"/>
    <w:link w:val="703"/>
    <w:uiPriority w:val="99"/>
    <w:semiHidden/>
    <w:rPr>
      <w:rFonts w:ascii="Times New Roman" w:hAnsi="Times New Roman" w:cs="Times New Roman"/>
      <w:sz w:val="24"/>
      <w:szCs w:val="24"/>
    </w:rPr>
  </w:style>
  <w:style w:type="character" w:styleId="705">
    <w:name w:val="Hyperlink"/>
    <w:basedOn w:val="676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hyperlink" Target="consultantplus://offline/ref=E241AE207EF27085E061C592DF4A3F31B58750BF07094B583D6CFE9EBAFEBE6A42461E80BCACB95534B115113DG7c7G" TargetMode="External"/><Relationship Id="rId13" Type="http://schemas.openxmlformats.org/officeDocument/2006/relationships/hyperlink" Target="consultantplus://offline/ref=E241AE207EF27085E061C592DF4A3F31B58750B70F034B583D6CFE9EBAFEBE6A5046468CBDADA65531A443407B2069FA78AB855DC7BE5DF3G8cDG" TargetMode="External"/><Relationship Id="rId14" Type="http://schemas.openxmlformats.org/officeDocument/2006/relationships/hyperlink" Target="consultantplus://offline/ref=E241AE207EF27085E061C592DF4A3F31B58554B5060A4B583D6CFE9EBAFEBE6A42461E80BCACB95534B115113DG7c7G" TargetMode="External"/><Relationship Id="rId15" Type="http://schemas.openxmlformats.org/officeDocument/2006/relationships/hyperlink" Target="consultantplus://offline/ref=CCFF3A264D9BCD02BBA868A1BAF32422448BA4EFE4FD03AAF7AE904BA1AC35513AB35610DCD3FECF5AE0DB79A8UFg9G" TargetMode="External"/><Relationship Id="rId16" Type="http://schemas.openxmlformats.org/officeDocument/2006/relationships/hyperlink" Target="consultantplus://offline/ref=0754072A00EE15647407794345D1C7DFB7339FABFC3438CC49278428269F1E53EF2196FDF73BA1A57A7F4C7FB3C1C5675891D0E6070D2FD1E3i0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5CA2E-93EB-4630-918B-D3CE6AE75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revision>80</cp:revision>
  <dcterms:created xsi:type="dcterms:W3CDTF">2021-08-19T11:08:00Z</dcterms:created>
  <dcterms:modified xsi:type="dcterms:W3CDTF">2026-08-19T11:16:19Z</dcterms:modified>
</cp:coreProperties>
</file>