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rFonts w:ascii="Times New Roman" w:hAnsi="Times New Roman" w:cs="Times New Roman"/>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 xml:space="preserve">БЕЛГОРОДСКАЯ  ОБЛАСТЬ </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 xml:space="preserve">СОВЕТ ДЕПУТАТОВ </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ГРАЙВОРОНСКОГО МУНИЦИПАЛЬНОГО ОКРУГА</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РЕШЕНИЕ</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27  ноября  2024 года                                                                                       №19</w:t>
      </w:r>
      <w:r>
        <w:rPr>
          <w:rFonts w:cs="Times New Roman" w:ascii="Times New Roman" w:hAnsi="Times New Roman"/>
          <w:sz w:val="28"/>
          <w:szCs w:val="28"/>
        </w:rPr>
        <w:t>0</w:t>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tbl>
      <w:tblPr>
        <w:tblW w:w="14355" w:type="dxa"/>
        <w:jc w:val="left"/>
        <w:tblInd w:w="108" w:type="dxa"/>
        <w:tblLayout w:type="fixed"/>
        <w:tblCellMar>
          <w:top w:w="0" w:type="dxa"/>
          <w:left w:w="108" w:type="dxa"/>
          <w:bottom w:w="0" w:type="dxa"/>
          <w:right w:w="108" w:type="dxa"/>
        </w:tblCellMar>
        <w:tblLook w:val="01e0"/>
      </w:tblPr>
      <w:tblGrid>
        <w:gridCol w:w="9570"/>
        <w:gridCol w:w="4784"/>
      </w:tblGrid>
      <w:tr>
        <w:trPr>
          <w:trHeight w:val="433" w:hRule="atLeast"/>
        </w:trPr>
        <w:tc>
          <w:tcPr>
            <w:tcW w:w="9570" w:type="dxa"/>
            <w:tcBorders/>
          </w:tcPr>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b/>
                <w:sz w:val="28"/>
                <w:szCs w:val="28"/>
              </w:rPr>
              <w:t>О ходе реализации муниципальной программы «Развитие образования Грайворонского городского округа»</w:t>
            </w:r>
          </w:p>
        </w:tc>
        <w:tc>
          <w:tcPr>
            <w:tcW w:w="4784" w:type="dxa"/>
            <w:tcBorders/>
          </w:tcPr>
          <w:p>
            <w:pPr>
              <w:pStyle w:val="Normal"/>
              <w:spacing w:lineRule="auto" w:line="240" w:before="0" w:after="0"/>
              <w:jc w:val="both"/>
              <w:rPr>
                <w:rFonts w:ascii="Times New Roman" w:hAnsi="Times New Roman" w:cs="Times New Roman"/>
                <w:b/>
                <w:sz w:val="26"/>
                <w:szCs w:val="26"/>
              </w:rPr>
            </w:pPr>
            <w:r>
              <w:rPr>
                <w:rFonts w:cs="Times New Roman" w:ascii="Times New Roman" w:hAnsi="Times New Roman"/>
                <w:b/>
                <w:sz w:val="26"/>
                <w:szCs w:val="26"/>
              </w:rPr>
            </w:r>
          </w:p>
        </w:tc>
      </w:tr>
    </w:tbl>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статьями 7 и 23 Устава Грайворонского </w:t>
      </w:r>
      <w:r>
        <w:rPr>
          <w:rFonts w:eastAsia="Times New Roman" w:ascii="Times New Roman" w:hAnsi="Times New Roman"/>
          <w:sz w:val="28"/>
          <w:szCs w:val="28"/>
        </w:rPr>
        <w:t>муниципального</w:t>
      </w:r>
      <w:r>
        <w:rPr>
          <w:rFonts w:cs="Times New Roman" w:ascii="Times New Roman" w:hAnsi="Times New Roman"/>
          <w:sz w:val="28"/>
          <w:szCs w:val="28"/>
        </w:rPr>
        <w:t xml:space="preserve"> округа Белгородской области</w:t>
      </w:r>
    </w:p>
    <w:p>
      <w:pPr>
        <w:pStyle w:val="Normal"/>
        <w:spacing w:lineRule="auto" w:line="240" w:before="0" w:after="0"/>
        <w:ind w:firstLine="709"/>
        <w:jc w:val="both"/>
        <w:rPr>
          <w:rFonts w:ascii="Times New Roman" w:hAnsi="Times New Roman" w:cs="Times New Roman"/>
          <w:b/>
          <w:sz w:val="28"/>
          <w:szCs w:val="28"/>
        </w:rPr>
      </w:pPr>
      <w:r>
        <w:rPr>
          <w:rFonts w:cs="Times New Roman" w:ascii="Times New Roman" w:hAnsi="Times New Roman"/>
          <w:sz w:val="28"/>
          <w:szCs w:val="28"/>
        </w:rPr>
        <w:t xml:space="preserve">Совет депутатов Грайворонского </w:t>
      </w:r>
      <w:r>
        <w:rPr>
          <w:rFonts w:eastAsia="Times New Roman" w:ascii="Times New Roman" w:hAnsi="Times New Roman"/>
          <w:sz w:val="28"/>
          <w:szCs w:val="28"/>
        </w:rPr>
        <w:t>муниципального</w:t>
      </w:r>
      <w:r>
        <w:rPr>
          <w:rFonts w:cs="Times New Roman" w:ascii="Times New Roman" w:hAnsi="Times New Roman"/>
          <w:sz w:val="28"/>
          <w:szCs w:val="28"/>
        </w:rPr>
        <w:t xml:space="preserve"> округа Белгородской области</w:t>
      </w:r>
      <w:r>
        <w:rPr>
          <w:rFonts w:cs="Times New Roman" w:ascii="Times New Roman" w:hAnsi="Times New Roman"/>
          <w:b/>
          <w:sz w:val="28"/>
          <w:szCs w:val="28"/>
        </w:rPr>
        <w:t xml:space="preserve"> р е ш и 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Принять к сведению информацию о ходе реализации муниципальной программы «Развитие образования Грайворонского городского округа».</w:t>
      </w:r>
    </w:p>
    <w:p>
      <w:pPr>
        <w:pStyle w:val="Normal"/>
        <w:spacing w:lineRule="auto" w:line="240" w:before="0" w:after="0"/>
        <w:ind w:firstLine="709"/>
        <w:jc w:val="both"/>
        <w:rPr>
          <w:rFonts w:ascii="Times New Roman" w:hAnsi="Times New Roman"/>
          <w:sz w:val="28"/>
          <w:szCs w:val="28"/>
          <w:lang w:bidi="ru-RU"/>
        </w:rPr>
      </w:pPr>
      <w:r>
        <w:rPr>
          <w:rFonts w:cs="Times New Roman" w:ascii="Times New Roman" w:hAnsi="Times New Roman"/>
          <w:sz w:val="28"/>
          <w:szCs w:val="28"/>
        </w:rPr>
        <w:t xml:space="preserve">2. </w:t>
      </w:r>
      <w:r>
        <w:rPr>
          <w:rFonts w:eastAsia="Times New Roman" w:ascii="Times New Roman" w:hAnsi="Times New Roman"/>
          <w:sz w:val="28"/>
          <w:szCs w:val="28"/>
        </w:rPr>
        <w:t xml:space="preserve">Опубликовать настоящее решение в газете «Родной край»                            или в сетевом издании «Родной край 31» (rodkray31.ru), и разместить                        на официальном сайте органов местного самоуправления Грайворонского муниципального округа </w:t>
      </w:r>
      <w:r>
        <w:rPr>
          <w:rFonts w:ascii="Times New Roman" w:hAnsi="Times New Roman"/>
          <w:sz w:val="28"/>
          <w:szCs w:val="28"/>
        </w:rPr>
        <w:t>(gra</w:t>
      </w:r>
      <w:r>
        <w:rPr>
          <w:rFonts w:ascii="Times New Roman" w:hAnsi="Times New Roman"/>
          <w:sz w:val="28"/>
          <w:szCs w:val="28"/>
          <w:lang w:val="en-US"/>
        </w:rPr>
        <w:t>j</w:t>
      </w:r>
      <w:r>
        <w:rPr>
          <w:rFonts w:ascii="Times New Roman" w:hAnsi="Times New Roman"/>
          <w:sz w:val="28"/>
          <w:szCs w:val="28"/>
        </w:rPr>
        <w:t>voron-</w:t>
      </w:r>
      <w:r>
        <w:rPr>
          <w:rFonts w:ascii="Times New Roman" w:hAnsi="Times New Roman"/>
          <w:sz w:val="28"/>
          <w:szCs w:val="28"/>
          <w:lang w:val="en-US"/>
        </w:rPr>
        <w:t>r</w:t>
      </w:r>
      <w:r>
        <w:rPr>
          <w:rFonts w:ascii="Times New Roman" w:hAnsi="Times New Roman"/>
          <w:sz w:val="28"/>
          <w:szCs w:val="28"/>
        </w:rPr>
        <w:t>31.</w:t>
      </w:r>
      <w:r>
        <w:rPr>
          <w:rFonts w:ascii="Times New Roman" w:hAnsi="Times New Roman"/>
          <w:sz w:val="28"/>
          <w:szCs w:val="28"/>
          <w:lang w:val="en-US"/>
        </w:rPr>
        <w:t>gosweb</w:t>
      </w:r>
      <w:r>
        <w:rPr>
          <w:rFonts w:ascii="Times New Roman" w:hAnsi="Times New Roman"/>
          <w:sz w:val="28"/>
          <w:szCs w:val="28"/>
        </w:rPr>
        <w:t>.</w:t>
      </w:r>
      <w:r>
        <w:rPr>
          <w:rFonts w:ascii="Times New Roman" w:hAnsi="Times New Roman"/>
          <w:sz w:val="28"/>
          <w:szCs w:val="28"/>
          <w:lang w:val="en-US"/>
        </w:rPr>
        <w:t>gosuslugi</w:t>
      </w:r>
      <w:r>
        <w:rPr>
          <w:rFonts w:ascii="Times New Roman" w:hAnsi="Times New Roman"/>
          <w:sz w:val="28"/>
          <w:szCs w:val="28"/>
        </w:rPr>
        <w:t>.ru).</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 Контроль выполнения данного решения возложить на постоянную комиссию Совета депутатов Грайворонского </w:t>
      </w:r>
      <w:r>
        <w:rPr>
          <w:rFonts w:eastAsia="Times New Roman" w:ascii="Times New Roman" w:hAnsi="Times New Roman"/>
          <w:sz w:val="28"/>
          <w:szCs w:val="28"/>
        </w:rPr>
        <w:t>муниципального</w:t>
      </w:r>
      <w:r>
        <w:rPr>
          <w:rFonts w:eastAsia="Times New Roman" w:cs="Times New Roman" w:ascii="Times New Roman" w:hAnsi="Times New Roman"/>
          <w:sz w:val="28"/>
          <w:szCs w:val="28"/>
        </w:rPr>
        <w:t xml:space="preserve"> округа                              по нормативно-правовой деятельности, вопросам обеспечения безопасности, законности и прав граждан, соблюдению правил депутатской этики </w:t>
      </w:r>
      <w:r>
        <w:rPr>
          <w:rFonts w:cs="Times New Roman" w:ascii="Times New Roman" w:hAnsi="Times New Roman"/>
          <w:sz w:val="28"/>
          <w:szCs w:val="28"/>
        </w:rPr>
        <w:t xml:space="preserve">           </w:t>
      </w:r>
      <w:r>
        <w:rPr>
          <w:rFonts w:eastAsia="Times New Roman" w:cs="Times New Roman" w:ascii="Times New Roman" w:hAnsi="Times New Roman"/>
          <w:sz w:val="28"/>
          <w:szCs w:val="28"/>
        </w:rPr>
        <w:t>(Шевченко В.В.).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b/>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Председатель Совета депутатов </w:t>
      </w:r>
    </w:p>
    <w:p>
      <w:pPr>
        <w:pStyle w:val="Normal"/>
        <w:spacing w:lineRule="auto" w:line="240" w:before="0" w:after="0"/>
        <w:ind w:firstLine="709"/>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Грайворонского муниципального округа</w:t>
      </w:r>
      <w:r>
        <w:rPr>
          <w:rFonts w:eastAsia="Times New Roman" w:cs="Times New Roman" w:ascii="Times New Roman" w:hAnsi="Times New Roman"/>
          <w:sz w:val="28"/>
          <w:szCs w:val="28"/>
        </w:rPr>
        <w:t xml:space="preserve">      </w:t>
        <w:tab/>
        <w:t xml:space="preserve">             </w:t>
      </w:r>
      <w:r>
        <w:rPr>
          <w:rFonts w:cs="Times New Roman" w:ascii="Times New Roman" w:hAnsi="Times New Roman"/>
          <w:sz w:val="28"/>
          <w:szCs w:val="28"/>
        </w:rPr>
        <w:t xml:space="preserve">       </w:t>
      </w:r>
      <w:r>
        <w:rPr>
          <w:rFonts w:eastAsia="Times New Roman" w:cs="Times New Roman" w:ascii="Times New Roman" w:hAnsi="Times New Roman"/>
          <w:b/>
          <w:sz w:val="28"/>
          <w:szCs w:val="28"/>
        </w:rPr>
        <w:t>А.Ю. Попов</w:t>
      </w:r>
    </w:p>
    <w:p>
      <w:pPr>
        <w:pStyle w:val="Normal"/>
        <w:ind w:right="-339"/>
        <w:jc w:val="both"/>
        <w:rPr>
          <w:rFonts w:ascii="Calibri" w:hAnsi="Calibri" w:eastAsia="Times New Roman" w:cs="Times New Roman"/>
          <w:sz w:val="28"/>
          <w:szCs w:val="28"/>
        </w:rPr>
      </w:pPr>
      <w:r>
        <w:rPr>
          <w:rFonts w:eastAsia="Times New Roman"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Отчёт о ходе реализации муниципальной программы </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«Развитие образования  Грайворонского городского округа» </w:t>
      </w:r>
    </w:p>
    <w:p>
      <w:pPr>
        <w:pStyle w:val="Normal"/>
        <w:spacing w:before="0" w:after="0"/>
        <w:ind w:firstLine="708"/>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Цель программы: создание условий для комплексного развития системы образования в соответствии с меняющимися запросами населения                   и перспективными задачами развития Грайворонского городского округа</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Достижение цели обеспечивалось за счет реализации пяти подпрограмм.</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8"/>
        <w:contextualSpacing/>
        <w:jc w:val="both"/>
        <w:rPr>
          <w:rFonts w:ascii="Times New Roman" w:hAnsi="Times New Roman" w:cs="Times New Roman"/>
          <w:sz w:val="28"/>
          <w:szCs w:val="28"/>
        </w:rPr>
      </w:pPr>
      <w:r>
        <w:rPr>
          <w:rFonts w:cs="Times New Roman" w:ascii="Times New Roman" w:hAnsi="Times New Roman"/>
          <w:sz w:val="28"/>
          <w:szCs w:val="28"/>
        </w:rPr>
        <w:t xml:space="preserve">На реализацию программных мероприятий в 2024 году запланированы средства в объеме 1млрд  37 млн. 992 тыс. 600 руб.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том числе за счет</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федерального бюджета –  64 млн. 802 тыс. 800 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областного бюджета –  713  млн. 143 тыс. 900  руб.,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местного бюджета –213 млн. 281 тыс. 400 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иные источники  составили –  46 млн.764 тыс. 500 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Средства федерального бюджета составляют – 7%, областного 64%, местного 24%, иные источники финансирования 5%.</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78% бюджета расходуется на финансирование мероприятий подпрограммы 2 «Развитие общего образования», 14% на финансирования приходится на подпрограмму «Развитие дошкольного образования».</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Основные статьи расходов представлены на слайде. Это заработная плата работников образовательной сферы, расходы по содержанию имущества,   коммунальные платежи, и т.д.</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Традиционно, 50%  финансирования  приходится на выплату  заработной платы работникам образовательных учреждений. За 10 месяцев 2024 года на эти цели  израсходовано –373 млн. 242 тыс. рублей. Что составило 66% от планируемой суммы.</w:t>
      </w:r>
      <w:r>
        <w:rPr>
          <w:rFonts w:eastAsia="+mn-ea"/>
          <w:b/>
          <w:bCs/>
          <w:kern w:val="2"/>
          <w:sz w:val="40"/>
          <w:szCs w:val="40"/>
        </w:rPr>
        <w:t xml:space="preserve"> </w:t>
      </w:r>
      <w:r>
        <w:rPr>
          <w:rFonts w:cs="Times New Roman" w:ascii="Times New Roman" w:hAnsi="Times New Roman"/>
          <w:sz w:val="28"/>
          <w:szCs w:val="28"/>
        </w:rPr>
        <w:t>Средняя заработная плата всех категорий работников сферы образования отражена на слайде.</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Говоря, о заработной плате сразу коснусь вопроса кадрового обеспечения. В сфере образования в настоящее время трудится 780 человек, из них 265 учителя. Женщин педагогов у нас в округе 224 человека - 85%.</w:t>
      </w:r>
      <w:r>
        <w:rPr/>
        <w:t xml:space="preserve">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60% составляют педагоги в возрасте от 50 лет и старше.  Средний возраст педагогов составляет - 47 лет.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72% учителей имеют стаж работы 20 лет и более. В этом году в округ пришло 3 молодых специалиста, договор о целевом обучении заключил один выпускник.</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Директорский корпус представлен 16 человеками, из них 7 мужчин 44%. Средний возраст директоров – 50 лет, средний возраст женщины-директора – 54 года, мужчины директора – 47 лет, Стаж руководящей работы более 20 лет, имеют 11 руководителей (69%)</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 подпрограмму «Развитие дошкольного образования» приходится 14% бюджета муниципальной программы.</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Общий объем финансирования Подпрограммы «Развитие дошкольного образования» в 2024 году составил 135 млн. 934 тыс.  900 руб., в том числе: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средства областного бюджета составили   78 % (106 млн 654 тыс.руб)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средства местного бюджета- 14% (19 млн 535 тыс.руб)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иные источники финансирования- 8% (9 млн 745 тыс. 200 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 10 месяцев 2024 года запланированные мероприятия профинансированы на 89  млн. 443 тыс. 37  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Дошкольное образование в Грайворонском муниципальном округе дети получают в 3 детских садах, и в дошкольных группах на базе 14 школ. Из 451 воспитанников, 55% обучаются в  детских садах и 45% в дошкольных группах при школах. Педагогический процесс дошкольного образования обеспечивают 94 педагогических работника. Средняя наполняемость группы 8,7 человек. В прошлом году этот показатель был 12 человек.</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 xml:space="preserve">К сожалению, последние три года контингент воспитанников падает. В настоящее время дошкольные учреждения функционируют в режиме дежурных групп.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Содержание одного дошкольника в месяц обходится бюджету в 18 тыс руб. Наиболее затратным в этом году было содержание детского сада «Радуга», в связи с проведением там ремонтных работ после обстрела.</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Несмотря, на сложную оперативную обстановку, воспитатели прикладывают максимум усилий для развития и воспитания дошкольников. Проводят онлайн занятия, вовлекают в конкурсное движение различного уровня, добиваясь высоких результатов на областном уровне.</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 xml:space="preserve">Так, в этом учебном году воспитанники детского сада «Капелька» стали </w:t>
      </w:r>
      <w:r>
        <w:rPr>
          <w:rFonts w:cs="Times New Roman" w:ascii="Times New Roman" w:hAnsi="Times New Roman"/>
          <w:sz w:val="28"/>
          <w:szCs w:val="28"/>
          <w:shd w:fill="FFFFFF" w:val="clear"/>
        </w:rPr>
        <w:t>победителями и призерами регионального конкурса «</w:t>
      </w:r>
      <w:r>
        <w:rPr>
          <w:rStyle w:val="Emphasis"/>
          <w:rFonts w:cs="Times New Roman" w:ascii="Times New Roman" w:hAnsi="Times New Roman"/>
          <w:sz w:val="28"/>
          <w:szCs w:val="28"/>
          <w:shd w:fill="FFFFFF" w:val="clear"/>
        </w:rPr>
        <w:t>Зеленый</w:t>
      </w:r>
      <w:r>
        <w:rPr>
          <w:rFonts w:cs="Times New Roman" w:ascii="Times New Roman" w:hAnsi="Times New Roman"/>
          <w:sz w:val="28"/>
          <w:szCs w:val="28"/>
          <w:shd w:fill="FFFFFF" w:val="clear"/>
        </w:rPr>
        <w:t> </w:t>
      </w:r>
      <w:r>
        <w:rPr>
          <w:rStyle w:val="Emphasis"/>
          <w:rFonts w:cs="Times New Roman" w:ascii="Times New Roman" w:hAnsi="Times New Roman"/>
          <w:sz w:val="28"/>
          <w:szCs w:val="28"/>
          <w:shd w:fill="FFFFFF" w:val="clear"/>
        </w:rPr>
        <w:t>огонек</w:t>
      </w:r>
      <w:r>
        <w:rPr>
          <w:rFonts w:cs="Times New Roman" w:ascii="Times New Roman" w:hAnsi="Times New Roman"/>
          <w:sz w:val="28"/>
          <w:szCs w:val="28"/>
          <w:shd w:fill="FFFFFF" w:val="clear"/>
        </w:rPr>
        <w:t>» в разных номинациях.</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Дошкольники детских садов Солнышко и Капелька стали призерами регионального этапа Всероссийского (международного) фестиваля «Праздник Эколят – молодых защитников природы».</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 Подпрограмму 2  «Развитие общего образования» запланировано 836 млн  475 тыс 900 руб. из них средства</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федерального бюджета составляют – 64 млн. 802 тыс. руб,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областного бюджета 597151  млн. 900 тыс. руб.,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муниципального бюджета 153 млн. 468 тыс. 400руб.,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иные источники финансирования -21млн. 52 тыс, 800руб.,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 10 месяцев 2024 года запланированные мероприятия профинансированы на 428 млн. 474 тыс. 800  руб.</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Сеть общеобразовательных учреждений Грайворонского городского округа представлена: 16 школами, из которых: 11 средних и  5 основных.</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Численность  контингента на начало учебного года составила 1868 человек. В первый класс набрано 119 человек.  В 9 классе обучается 212 человек, в 11 классах – 93. Функционирует 196 классов - комплектов. Средняя наполняемость классов составила 9,5 человек, на одного учителя приходится – 7  учеников.</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среднем содержание одного школьника по муниципалитету составило – 21 тыс. руб, в прошлом году эта сумма составляла 29 тыс. руб. содержание снизилось в связи с тем, что в округе не проводилось капитальных ремонтов школ. Так, содержание одного ребенка в месяц в школе с УИОП г.Грайворона обходится в 12 тыс. руб, в Горьковской школе в 4,3 раза больше и составляет 52 тыс. руб. в месяц.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Не могу не сказать, о снижении контингента школьников. В связи со сложившимися обстоятельствами и оттоком населения из округа в новом учебном году  численность обучающихся школ упала на 17% или 385 человек. Если говорить в абсолютных цифрах, то самый большой отток произошел из трех крупных школ: двух городских и головчинской школы. Если говорить о процентном соотношении, то самый большой отток наблюдается в Мокро-Орловской школе, ушло 35% контингента, из СОШ с УИОП г.Грайворона ушло  - 26% , из школы Шухова – 25% школьников.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 40 человек или 24% по сравнению с прошлым годом снизилась количество первоклассников, нет первых классов в трех школах: Горьковской, Мокро-Орловской и Смородинской.</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 уровне начального общего образования количество детей снизилось на 19%, на уровне основного на 15%, на уровне среднего на 7%.</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  протяжении последних лет, наблюдается устойчивая тенденция спада количества обучающихся на уровне среднего общего образования. Все больше выпускников 9 классов предпочитают образование в СПО. За 7 лет на 27% процентов сократилась доля выпускников, продолживших обучение в 10 классе. В новом учебном году в 10 класс пришли обучаться только 28% выпускников 9 классов.</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Максимально сохранили свой контингент Почаевская, Смородинская, Безыменская и Дорогощанская школы. Из опорных школ – Головчинская школа. В Мокро-Орловской школе десятого класса в этом году не будет.</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69% выпускников поступили в СПО, причем 78% выбрали СПО на территории области. 15 человек выбрали для дальнейшего обучения медицинское направление, 10 человек педагогическое.</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 xml:space="preserve">Текущий учебный год как и несколько предыдущих  100% школ округа функционируют в дистанционном формате. По итогам года качество знаний по округу составило 54%. На протяжении последних трех лет качество знаний по итогам первой четверти остается стабильным. Допустимый уровень качества знаний от 30-49%  имеют 3 школы (Новостроевская, Дунайская и Гора-Подольская), остальные 13 школ демонстрируют оптимальный уровень качества знаний от 50-100 %. </w:t>
      </w:r>
    </w:p>
    <w:p>
      <w:pPr>
        <w:pStyle w:val="Normal"/>
        <w:widowControl w:val="false"/>
        <w:pBdr>
          <w:top w:val="single" w:sz="4" w:space="0" w:color="FFFFFF"/>
          <w:left w:val="single" w:sz="4" w:space="0" w:color="FFFFFF"/>
          <w:bottom w:val="single" w:sz="4" w:space="29" w:color="FFFFFF"/>
          <w:right w:val="single" w:sz="4" w:space="0" w:color="FFFFFF"/>
        </w:pBdr>
        <w:spacing w:lineRule="auto" w:line="240" w:before="0" w:after="0"/>
        <w:ind w:firstLine="709"/>
        <w:contextualSpacing/>
        <w:jc w:val="both"/>
        <w:rPr>
          <w:rFonts w:ascii="Times New Roman" w:hAnsi="Times New Roman" w:cs="Times New Roman"/>
          <w:sz w:val="28"/>
          <w:szCs w:val="28"/>
        </w:rPr>
      </w:pPr>
      <w:r>
        <w:rPr>
          <w:rFonts w:eastAsia="Calibri" w:cs="Times New Roman" w:ascii="Times New Roman" w:hAnsi="Times New Roman"/>
          <w:sz w:val="28"/>
          <w:szCs w:val="28"/>
        </w:rPr>
        <w:t>232 человека (или 15%)  закончили первую четверть на отлично, традиционно самое большое количество отличников на уровне начального общего образования.  Доля отличников в разрезе школ  представлена на слайде.</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2024 году школу закончили 82 выпускника 11 классов.  79% из них поступили в Вузы, 14% в средние профессиональные учреждения, 7% (6 человек)  по различным причинам отказались от поступления в этом году.</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Из 65 человек, поступивших в высшие учебные заведения, в ВУЗы области  поступило – 28 человек, за пределы области – 37 человек. В прошлом году картина была немного иной, в Белгород поступило 63%, за пределы 37%. Сравнительный анализ  отражен на слайде.</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этом году география поступления – различна. 43% от поступивших за пределы области – поступили в ВУЗы Москвы и Санкт-Петербруга. В том числе выпускник школы им. Шухова Поляков Данила стал студентом МГУ, факультета – политология на бюджетной основе.</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военные ВУЗЫ поступило 18% (12 человек) поступивших в ВУЗЫ,  в медицинские вузы – 12% или 8 человек, педагогику выбрал только 1 выпускник (в прошлом году таких выпускников было 10).</w:t>
      </w:r>
    </w:p>
    <w:p>
      <w:pPr>
        <w:pStyle w:val="Normal"/>
        <w:spacing w:lineRule="auto" w:line="240" w:before="0" w:after="0"/>
        <w:ind w:firstLine="708"/>
        <w:jc w:val="both"/>
        <w:textAlignment w:val="baseline"/>
        <w:rPr>
          <w:rFonts w:ascii="Times New Roman" w:hAnsi="Times New Roman" w:eastAsia="Times New Roman" w:cs="Times New Roman"/>
          <w:kern w:val="2"/>
          <w:sz w:val="28"/>
          <w:szCs w:val="28"/>
        </w:rPr>
      </w:pPr>
      <w:r>
        <w:rPr>
          <w:rFonts w:eastAsia="Times New Roman" w:cs="Times New Roman" w:ascii="Times New Roman" w:hAnsi="Times New Roman"/>
          <w:kern w:val="2"/>
          <w:sz w:val="28"/>
          <w:szCs w:val="28"/>
        </w:rPr>
        <w:t>80% поступивших в ВУЗы будут обучаться на бюджете. Из поступивших в Белгород на бюджет поступило – 86%, из поступивших за пределы области на бюджете будут обучаться – 73%.</w:t>
      </w:r>
    </w:p>
    <w:p>
      <w:pPr>
        <w:pStyle w:val="Normal"/>
        <w:spacing w:lineRule="auto" w:line="240" w:before="0" w:after="0"/>
        <w:ind w:firstLine="708"/>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kern w:val="2"/>
          <w:sz w:val="28"/>
          <w:szCs w:val="28"/>
        </w:rPr>
        <w:t xml:space="preserve"> </w:t>
      </w:r>
      <w:r>
        <w:rPr>
          <w:rFonts w:eastAsia="Times New Roman" w:cs="Times New Roman" w:ascii="Times New Roman" w:hAnsi="Times New Roman"/>
          <w:kern w:val="2"/>
          <w:sz w:val="28"/>
          <w:szCs w:val="28"/>
        </w:rPr>
        <w:t>Использовали при поступлении только результаты ЕГЭ -25 человек, сдавали испытания в ВУЗах – 40 человек.</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Радует, тот факт, что выпускники школ нашего округа являются конкурентоспособными и могут выбирать обучение в любом ВУЗе нашей страны. Об этом свидетельствую и результаты итоговой аттестации.</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2023-2024 учебном году из 82 выпускников среднего общего образования только 36 человек выбрали в качестве итоговой аттестации сдачу ЕГЭ. Это на 7% меньше, чем в 2023 году. Использовали результаты ЕГЭ для поступления только 69% от сдававших единый государственный экзамен.</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Из 10 школ, имеющих выпускников 11 классов, выпускники 4-х школ полностью выбрали прохождение ГИА в  форме промежуточной аттестации и не сдавали ЕГЭ (это выпускники Безыменской, Смородинской, Почаевской и Дорогощанской школ), в прошлом году таких школ было тоже 4. Два года подряд отказываются от сдачи ЕГЭ выпускники Смородинской школы.</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Результаты государственной итоговой аттестации по программам среднего общего образования показали, что в 2024 году округ улучшил показатели в сравнении с результатами прошлого года по 7 предметам: литературе, физике, информатике, математике, истории, биологии. </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Радует, тот факт, что в этом году выше среднеобластного  средний балл  по 5 предметам: русскому языку, литературе, информатике и ИКТ, истории, физике, в прошлом и позапрошлом году такой предмет был только один – химия. </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Наилучших результатов по литературе (100), физике (74), истории (82), английскому языку (52) добились выпускники школы имени Шухова</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Наилучшие результаты химии (68), биологии (68), информатике (69), русскому языку (72), математике профильного уровня (75) продемонстрировали ученики Головчинской школы. </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Самый высокий средний тестовый балл за ЕГЭ по обществознанию (63) показали выпускники школы с УИОП г.Грайворона.</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текущем году 9 выпускников из 3 школ (две городские и Головчинская школа) написали высокобалльные работы. Каждый 4 выпускник из сдававших ЕГЭ в 2024 году – высокобалльник. Четыре выпускника выполнило по несколько высокобалльных работ. Это 3 выпускника школы им.Шухова и 1 из Головчинской школ.</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9 выпускников выполнили 15 высокобалльных работ. Традиционно наибольшее количество высокобалльных работ по русскому языку – 9. Из них  5 выполнили выпускники школы им.Шухова, 3 выпускники Головчинской  школы и  1 - СОШ с УИОП г.Грайворона. Радует тот факт, что в 2 раза возросло количество предметов, по которым нашими выпускниками выполнены высокобалльные работы. </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Хотелось бы отметить что на протяжении двух лет у нас есть выпускники-стобалльники. В этом году 100 баллов на ЕГЭ  по литературе получила выпускница школы им. Шухова – Кирхмайер Светлана. Учитель – Хорош</w:t>
      </w:r>
      <w:bookmarkStart w:id="0" w:name="_GoBack"/>
      <w:bookmarkEnd w:id="0"/>
      <w:r>
        <w:rPr>
          <w:rFonts w:eastAsia="Calibri" w:cs="Times New Roman" w:ascii="Times New Roman" w:hAnsi="Times New Roman"/>
          <w:sz w:val="28"/>
          <w:szCs w:val="28"/>
        </w:rPr>
        <w:t>илова Лилия Викторовна.</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этом году 15 выпускников из 5 школ получили федеральные медали «За особые успехи в учении» 1 и 2 степени. Доля медалистов от общего количества выпускников в этом году составляет 18%, что выше на 3% по сравнению с предыдущим годом.  Наибольшее количество выпускников, закончивших школу с медалью в этом году в школе им.Шухова и Головчинской школе.</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новом учебном году в округе продолжают функционировать специализированные классы.  Они помогут детям в профессиональном самоопределении и подготовке к выбору будущей профессии. В Головчино – это медицинский, педагогический, ай-ти и агро классы,  в двух городских школах – педагогические классы. В четырех школах продолжается обучение обучающихся  по индивидуальным учебным планам.</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Уже четвертый годна базе  Головчинской школы функционирует медицинский класс. Результатом  деятельности медицинского  класса можно считать поступление 11  выпускников из 13 в учреждения медицинской направленности. При этом хотелось бы отметить, что 70% поступили в ВУЗы Белгородской области, 5 заключили целевой договор.</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рамках нацпроекта «Образование» в школах Грайворонского муниципального округа продолжают создаваться центры естественно-научной и технологической направленностей «Точка роста».  В этом году такой Центр должен был быть открыт  в Мокро-Орловской школе, но  по объективным причинам было решено создать такой центр на базе  Дунайской школы. В настоящее время общее  количество Точек Роста в Грайворонском ГО - 11. </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Создаваемые в этом году Точки роста направлены на улучшение преподавания физики, химии и биологии. На приобретение оборудования для каждого Центра выделяются федеральные  средства, на них приобретаются цифровые лаборатории по предметам. Из муниципального бюджета идет финансирование на ремонт помещений, задействованных в Центрах и брендирование.</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В рамках реализации нацпроекта «Цифровая образовательная среда» школы продолжают оснащаться новой компьютерной техникой. В 2024 году участниками данной программы стали Добросельская и Ивано-Лисичанская школы. Данное оборудование успешно реализуется при дистанционном формате обучения, которое организовано на платформе «Сферум». Министерством образования Белгородской области был определён перечень школ, имеющих высокий рейтинг активности в информационно-коммуникационной образовательной платформе «Сферум» и максимальное количество звонков и чатов педагогов. По итогам года в рейтинг самых активных школ области вошли и 6 школ Грайворонского городского округа. Этими школами стали:  МБОУ «СОШ им.В.Г.Шухова» г.Грайворона,  МБОУ «СОШ с УИОП» г.Грайворона,  МБОУ «Головчинская СОШ с УИОП», МБОУ «Гора-Подольская СОШ»,  МБОУ «Новостроевская ООШ», МБОУ «Дунайская ООШ им.А.Я.Волобуева».</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Грайворонские школьники  активные участники проекта «Создание непрерывной системы развития навыков будущего для цифровой экономики учащихся общеобразовательных организаций Белгородской области». По итогам года Цифровое ГТО прошли 99% школьников, при плановой цифре по области -  96%.  Округ является лидером по ключевому показателю проекта - результативности и занимает третье  место в области. </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В округе продолжает развиваться олимпиадное движение. В прошлом году участниками муниципального этапа стали 432 человека, из 14 школ. Не приняли участие школьники из Новостроевской и Горьковской школ. Победителями и призерами стали 165 человек. Лидерами в данном направлении стали школьники школы с углубленным изучением отдельных предметов г.Грайворона,  Головчинской школы и школы им.Шухова.</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Радует тот факт, что Ешану София, ученица школы с углубленным изучением отдельных предметов стала призером регионального этапа по информатике.</w:t>
      </w:r>
    </w:p>
    <w:p>
      <w:pPr>
        <w:pStyle w:val="Normal"/>
        <w:widowControl w:val="false"/>
        <w:pBdr>
          <w:top w:val="single" w:sz="4" w:space="1" w:color="FFFFFF"/>
          <w:left w:val="single" w:sz="4" w:space="0" w:color="FFFFFF"/>
          <w:bottom w:val="single" w:sz="4" w:space="31" w:color="FFFFFF"/>
          <w:right w:val="single" w:sz="4" w:space="0" w:color="FFFFFF"/>
        </w:pBdr>
        <w:spacing w:lineRule="auto" w:line="240" w:before="0" w:after="0"/>
        <w:ind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Несмотря на то, что школы нашего округа 4 год находятся на тотальном дистанте, педагоги округа прилагают максимум усилий для вовлечения школьников в различные конкурсы и мероприятия. Так в 2024 году в конкурсах муниципального уровня приняли участие 942 школьника, регионального 278 детей. 54 обучающихся  стали победителями и призерами различных конкурсов регионального уровня и 1 федерального.</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Грайворонские школьники стали победителем губернаторского проектов «ТЫ в Деле», победителями регионального конкурса </w:t>
      </w:r>
      <w:r>
        <w:rPr>
          <w:rFonts w:eastAsia="Calibri" w:cs="Times New Roman" w:ascii="Times New Roman" w:hAnsi="Times New Roman"/>
          <w:sz w:val="30"/>
          <w:szCs w:val="30"/>
        </w:rPr>
        <w:t xml:space="preserve"> социально значимых </w:t>
      </w:r>
      <w:r>
        <w:rPr>
          <w:rFonts w:eastAsia="Calibri" w:cs="Times New Roman" w:ascii="Times New Roman" w:hAnsi="Times New Roman"/>
          <w:sz w:val="28"/>
          <w:szCs w:val="28"/>
        </w:rPr>
        <w:t>проектов «Время 31-х» и других конкурсов.</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школах округа педагоги стараются уделять должное внимание патриотическому воспитанию. Грайворонцы успешно принимают участие в военизированных тактических соревнованиях, участвуют в военно-исторических сборах. В этом году 39 школьников, из них 6 девушек стали участниками военно-исторических сборов «АРМАТА», </w:t>
      </w:r>
      <w:r>
        <w:rPr>
          <w:rFonts w:eastAsia="Calibri" w:cs="Times New Roman"/>
          <w:sz w:val="28"/>
          <w:szCs w:val="28"/>
        </w:rPr>
        <w:t>с</w:t>
      </w:r>
      <w:r>
        <w:rPr>
          <w:rFonts w:eastAsia="Calibri" w:cs="Times New Roman" w:ascii="Times New Roman" w:hAnsi="Times New Roman"/>
          <w:sz w:val="28"/>
          <w:szCs w:val="28"/>
        </w:rPr>
        <w:t>пециальной смены «Время юных героев» Центра «Воин», проходивших в Губкине, Новом Осколе и Ракитном. По результатам конкурса смотра песни и строя взвод наших девчонок занял третье место.</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 сентябре этого года начал работу филиал областного центра «Воин» на базе Головчинской школы. Была набрана  первая смена обучающихся: 16 курсантов (10 юношей и 6 девушек). Ребята на протяжении 2,5 месяцев изучают основы военной теории, тактик, навыки оказания медицинской помощи. После успешной сдачи зачета по теоретической части курсантам на безвозмездной основе выдается военная форма. Обучение курсантов  в центре «Воин» осуществляют ветераны-пограничники, участники боевых действий, имеющие педагогическое образование и педагогический стаж.</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Большое внимание в округе уделяется работе по отдыху и оздоровлению школьников. </w:t>
      </w:r>
      <w:r>
        <w:rPr>
          <w:rFonts w:eastAsia="Calibri" w:cs="Times New Roman" w:ascii="Times New Roman" w:hAnsi="Times New Roman"/>
          <w:sz w:val="28"/>
          <w:szCs w:val="28"/>
          <w:shd w:fill="FFFFFF" w:val="clear"/>
        </w:rPr>
        <w:t xml:space="preserve">Уже на протяжении двух лет оздоровление детей организовано круглогодично. </w:t>
      </w:r>
      <w:r>
        <w:rPr>
          <w:rFonts w:eastAsia="Calibri" w:cs="Times New Roman" w:ascii="Times New Roman" w:hAnsi="Times New Roman"/>
          <w:sz w:val="28"/>
          <w:szCs w:val="28"/>
        </w:rPr>
        <w:t>Благодаря поддержке губернатора Белгородской области за 10 месяцев 2024 года за пределами области отдохнуло 1096 грайворонских школьников (это 60%), для сравнения за весь календарный 2023 год на отдых было направлено 903 ребенка.</w:t>
      </w:r>
    </w:p>
    <w:p>
      <w:pPr>
        <w:pStyle w:val="Normal"/>
        <w:tabs>
          <w:tab w:val="clear" w:pos="708"/>
          <w:tab w:val="left" w:pos="709" w:leader="none"/>
        </w:tabs>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ab/>
        <w:t>На финансирование мероприятий по отдыху и оздоровлению потрачено более 22 млн рублей. На приобретение 367 путевок в Крыму для школьников было израсходовано 16 млн рублей, из них из федерального бюджета более 15 млн, местного бюджета – 750 тыс. руб. Все расходы отражены на слайде.</w:t>
      </w: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Работа по данному направлению продолжается.</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 xml:space="preserve">В муниципалитете всегда уделялось большое внимание питанию школьников.  В связи с переходом на дистанционный формат обучения школьники регулярно получают продуктовые наборы. Обучающиеся льготных категорий  (это 515 человек) получают продуктовый набор на сумму 134 руб 27 коп в день (компенсация завтрака и обеда), дети не льготных категорий на сумму 63 руб. 27 коп. в день, компенсацию завтрака. </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Стоимость 1 продуктового набора для детей льготных категорий в сентябре составила – 2819 руб. 67 копеек, в октябре – 2551 руб.13 коп.</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 xml:space="preserve"> не льготных – 1328 руб. 67 коп. в сентябре и 1202 руб.13 коп в октябре.</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t>На продуктовые наборы на текущую дату израсходовано 14 млн 93 тысячи 569 рублей.</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 xml:space="preserve"> </w:t>
      </w:r>
      <w:r>
        <w:rPr>
          <w:rFonts w:eastAsia="Calibri" w:cs="Times New Roman" w:ascii="Times New Roman" w:hAnsi="Times New Roman"/>
          <w:bCs/>
          <w:sz w:val="28"/>
          <w:szCs w:val="28"/>
        </w:rPr>
        <w:tab/>
        <w:t xml:space="preserve">Ежегодно пополняется материально-техническая база учреждений образования. </w:t>
      </w:r>
      <w:r>
        <w:rPr>
          <w:rFonts w:eastAsia="Calibri" w:cs="Times New Roman" w:ascii="Times New Roman" w:hAnsi="Times New Roman"/>
          <w:sz w:val="28"/>
          <w:szCs w:val="28"/>
        </w:rPr>
        <w:t>Приобретаются новые учебники и наглядные пособия. В этом году на эти цели выделено из областного бюджета более 19 млн. руб. На эти средства закуплены 20 тыс 313 учебников,  528 учебных пособий, 16 тыс 742 рабочие тетради. Это на 30% больше, чем в прошлом году.</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r>
      <w:r>
        <w:rPr>
          <w:rFonts w:eastAsia="Calibri" w:cs="Times New Roman" w:ascii="Times New Roman" w:hAnsi="Times New Roman"/>
          <w:sz w:val="28"/>
          <w:szCs w:val="28"/>
        </w:rPr>
        <w:t>С 1 сентября 2024 года в учебный план всех российских школ  введён новый обязательный предмет «Труд (технология)» для учащихся с 1-го по 9-й классы и  «Основы безопасности и защита родины» вместо ОБЖ в 8-11 классах. Учащиеся обучаются мерам безопасности в чрезвычайных ситуациях и при военных угрозах. В старших классах  введены практические занятия, включая тактическую, огневую и медицинскую подготовку.</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r>
      <w:r>
        <w:rPr>
          <w:rFonts w:cs="Times New Roman" w:ascii="Times New Roman" w:hAnsi="Times New Roman"/>
          <w:b/>
          <w:sz w:val="28"/>
          <w:szCs w:val="28"/>
        </w:rPr>
        <w:t>Подпрограмма. Развитие дополнительного образования детей.</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r>
      <w:r>
        <w:rPr>
          <w:rFonts w:cs="Times New Roman" w:ascii="Times New Roman" w:hAnsi="Times New Roman"/>
          <w:sz w:val="28"/>
          <w:szCs w:val="28"/>
        </w:rPr>
        <w:t>Общий объем финансирования данной подпрограммы составил  35 млн 56 тыс 100 руб. все средства местного бюджета. Освоено в настоящее время 12 млн 992 тыс 900. Руб.</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eastAsia="Calibri" w:cs="Times New Roman"/>
          <w:bCs/>
          <w:sz w:val="28"/>
          <w:szCs w:val="28"/>
        </w:rPr>
      </w:pPr>
      <w:r>
        <w:rPr>
          <w:rFonts w:eastAsia="Calibri" w:cs="Times New Roman" w:ascii="Times New Roman" w:hAnsi="Times New Roman"/>
          <w:bCs/>
          <w:sz w:val="28"/>
          <w:szCs w:val="28"/>
        </w:rPr>
        <w:tab/>
      </w:r>
      <w:r>
        <w:rPr>
          <w:rFonts w:cs="Times New Roman" w:ascii="Times New Roman" w:hAnsi="Times New Roman"/>
          <w:sz w:val="28"/>
          <w:szCs w:val="28"/>
        </w:rPr>
        <w:t>Дополнительное образование в округе представлено 2 учреждениями: центром детского творчества и станцией юных натуралистов.  В которых обучается в настоящее время 802 человек по 39 программам 6 направленностей. Самое большое количество детей 43% обучается по программам художественно-эстетической направленности.</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ab/>
        <w:t>Подпрограмма. Развитие системы оценки качества образования.</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b/>
          <w:sz w:val="28"/>
          <w:szCs w:val="28"/>
        </w:rPr>
      </w:pPr>
      <w:r>
        <w:rPr>
          <w:rFonts w:cs="Times New Roman" w:ascii="Times New Roman" w:hAnsi="Times New Roman"/>
          <w:sz w:val="28"/>
          <w:szCs w:val="28"/>
        </w:rPr>
        <w:tab/>
        <w:t>Общий объем финансирования Подпрограммы 4 "Развитие системы оценки качества образования" по плану составляет   1 млн. 115 тыс. 800  руб.. Финансирование данной программы осуществляется исключительно из местного бюджета. В настоящее время освоено 1 млн. 418 тыс. 900 руб., 127%</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ab/>
        <w:t>Подпрограмма. Обеспечение реализации муниципальной программы.</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Общий объем финансирования  составил 32 млн. 140  тыс.  В том числе средства: </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федерального бюджета составили – 2млн. 730 тыс. 200 руб. (6%)</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-областного бюджета составили 9 млн. 338 тыс.руб (29%),</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местного бюджета – 20 млн. 71 тыс. 900 руб. (65%. )</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В настоящее время освоено 1 млн. 418 тыс. 900 руб., 80%</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Все запланированные мероприятия выполнены в полном объеме. </w:t>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pBdr>
          <w:bottom w:val="single" w:sz="4" w:space="31" w:color="FFFFFF"/>
        </w:pBdr>
        <w:tabs>
          <w:tab w:val="clear" w:pos="708"/>
          <w:tab w:val="left" w:pos="885" w:leader="none"/>
          <w:tab w:val="left" w:pos="9356" w:leader="none"/>
        </w:tabs>
        <w:spacing w:lineRule="auto" w:line="240" w:before="0" w:after="0"/>
        <w:jc w:val="both"/>
        <w:rPr>
          <w:rFonts w:ascii="Times New Roman" w:hAnsi="Times New Roman" w:cs="Times New Roman"/>
          <w:sz w:val="28"/>
          <w:szCs w:val="28"/>
        </w:rPr>
      </w:pPr>
      <w:r>
        <w:rPr>
          <w:rFonts w:cs="Times New Roman" w:ascii="Times New Roman" w:hAnsi="Times New Roman"/>
          <w:b/>
          <w:sz w:val="28"/>
          <w:szCs w:val="28"/>
        </w:rPr>
        <w:tab/>
        <w:t>Уровень достижения показателей программы и ее подпрограмм свидетельствует об ее эффективной реализации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sectPr>
      <w:headerReference w:type="default" r:id="rId2"/>
      <w:footerReference w:type="default" r:id="rId3"/>
      <w:type w:val="nextPage"/>
      <w:pgSz w:w="11906" w:h="16838"/>
      <w:pgMar w:left="1701" w:right="850" w:gutter="0" w:header="709" w:top="1134" w:footer="709"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776335"/>
    </w:sdtPr>
    <w:sdtContent>
      <w:p>
        <w:pPr>
          <w:pStyle w:val="Header"/>
          <w:jc w:val="center"/>
          <w:rPr/>
        </w:pPr>
        <w:r>
          <w:rPr/>
          <w:fldChar w:fldCharType="begin"/>
        </w:r>
        <w:r>
          <w:rPr/>
          <w:instrText xml:space="preserve"> PAGE </w:instrText>
        </w:r>
        <w:r>
          <w:rPr/>
          <w:fldChar w:fldCharType="separate"/>
        </w:r>
        <w:r>
          <w:rPr/>
          <w:t>10</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0c4e"/>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c176f6"/>
    <w:rPr/>
  </w:style>
  <w:style w:type="character" w:styleId="Style15" w:customStyle="1">
    <w:name w:val="Нижний колонтитул Знак"/>
    <w:basedOn w:val="DefaultParagraphFont"/>
    <w:uiPriority w:val="99"/>
    <w:qFormat/>
    <w:rsid w:val="00c176f6"/>
    <w:rPr/>
  </w:style>
  <w:style w:type="character" w:styleId="Apple-converted-space" w:customStyle="1">
    <w:name w:val="apple-converted-space"/>
    <w:basedOn w:val="DefaultParagraphFont"/>
    <w:qFormat/>
    <w:rsid w:val="00f25600"/>
    <w:rPr/>
  </w:style>
  <w:style w:type="character" w:styleId="Emphasis">
    <w:name w:val="Emphasis"/>
    <w:basedOn w:val="DefaultParagraphFont"/>
    <w:uiPriority w:val="20"/>
    <w:qFormat/>
    <w:rsid w:val="008e5c69"/>
    <w:rPr>
      <w:i/>
      <w:iCs/>
    </w:rPr>
  </w:style>
  <w:style w:type="paragraph" w:styleId="Style16">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uiPriority w:val="99"/>
    <w:unhideWhenUsed/>
    <w:qFormat/>
    <w:rsid w:val="0019485c"/>
    <w:pPr>
      <w:spacing w:lineRule="auto" w:line="240" w:beforeAutospacing="1" w:afterAutospacing="1"/>
    </w:pPr>
    <w:rPr>
      <w:rFonts w:ascii="Times New Roman" w:hAnsi="Times New Roman" w:eastAsia="Times New Roman" w:cs="Times New Roman"/>
      <w:sz w:val="24"/>
      <w:szCs w:val="24"/>
    </w:rPr>
  </w:style>
  <w:style w:type="paragraph" w:styleId="Style18">
    <w:name w:val="Колонтитул"/>
    <w:basedOn w:val="Normal"/>
    <w:qFormat/>
    <w:pPr/>
    <w:rPr/>
  </w:style>
  <w:style w:type="paragraph" w:styleId="Header">
    <w:name w:val="Header"/>
    <w:basedOn w:val="Normal"/>
    <w:link w:val="Style14"/>
    <w:uiPriority w:val="99"/>
    <w:unhideWhenUsed/>
    <w:rsid w:val="00c176f6"/>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c176f6"/>
    <w:pPr>
      <w:tabs>
        <w:tab w:val="clear" w:pos="708"/>
        <w:tab w:val="center" w:pos="4677" w:leader="none"/>
        <w:tab w:val="right" w:pos="9355" w:leader="none"/>
      </w:tabs>
      <w:spacing w:lineRule="auto" w:line="240" w:before="0" w:after="0"/>
    </w:pPr>
    <w:rPr/>
  </w:style>
  <w:style w:type="paragraph" w:styleId="Default" w:customStyle="1">
    <w:name w:val="Default"/>
    <w:qFormat/>
    <w:rsid w:val="003f5069"/>
    <w:pPr>
      <w:widowControl/>
      <w:bidi w:val="0"/>
      <w:spacing w:lineRule="auto" w:line="240" w:before="0" w:after="0"/>
      <w:jc w:val="left"/>
    </w:pPr>
    <w:rPr>
      <w:rFonts w:ascii="Calibri" w:hAnsi="Calibri" w:eastAsia="Times New Roman" w:cs="Calibri"/>
      <w:color w:val="000000"/>
      <w:kern w:val="0"/>
      <w:sz w:val="24"/>
      <w:szCs w:val="24"/>
      <w:lang w:val="ru-RU" w:eastAsia="ru-RU" w:bidi="ar-SA"/>
    </w:rPr>
  </w:style>
  <w:style w:type="paragraph" w:styleId="ListParagraph">
    <w:name w:val="List Paragraph"/>
    <w:basedOn w:val="Normal"/>
    <w:uiPriority w:val="34"/>
    <w:qFormat/>
    <w:rsid w:val="00987c34"/>
    <w:pPr>
      <w:spacing w:before="0" w:after="200"/>
      <w:ind w:left="720"/>
      <w:contextualSpacing/>
    </w:pPr>
    <w:rPr/>
  </w:style>
  <w:style w:type="paragraph" w:styleId="NoSpacing">
    <w:name w:val="No Spacing"/>
    <w:basedOn w:val="Normal"/>
    <w:uiPriority w:val="1"/>
    <w:qFormat/>
    <w:rsid w:val="00b06f54"/>
    <w:pPr>
      <w:spacing w:lineRule="auto" w:line="240" w:beforeAutospacing="1" w:afterAutospacing="1"/>
    </w:pPr>
    <w:rPr>
      <w:rFonts w:ascii="Times New Roman" w:hAnsi="Times New Roman" w:eastAsia="Times New Roman" w:cs="Times New Roman"/>
      <w:sz w:val="24"/>
      <w:szCs w:val="24"/>
    </w:rPr>
  </w:style>
  <w:style w:type="paragraph" w:styleId="ConsPlusNormal" w:customStyle="1">
    <w:name w:val="ConsPlusNormal"/>
    <w:qFormat/>
    <w:rsid w:val="00f42357"/>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3D0D-4C8D-44D9-9C5A-0BBE5C34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LibreOffice/7.6.7.2$Windows_X86_64 LibreOffice_project/dd47e4b30cb7dab30588d6c79c651f218165e3c5</Application>
  <AppVersion>15.0000</AppVersion>
  <Pages>10</Pages>
  <Words>2893</Words>
  <Characters>18282</Characters>
  <CharactersWithSpaces>21472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2024-11-18T10:29:00Z</dcterms:created>
  <dc:creator>USER</dc:creator>
  <dc:description/>
  <dc:language>ru-RU</dc:language>
  <cp:lastModifiedBy/>
  <cp:lastPrinted>2021-11-18T07:30:00Z</cp:lastPrinted>
  <dcterms:modified xsi:type="dcterms:W3CDTF">2024-11-29T10:11:56Z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