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952006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608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608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08"/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08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08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08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08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08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РАСПОРЯЖЕНИЕ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608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608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608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608"/>
        <w:jc w:val="both"/>
        <w:rPr>
          <w:sz w:val="22"/>
        </w:rPr>
      </w:pPr>
      <w:r>
        <w:rPr>
          <w:b/>
          <w:sz w:val="22"/>
          <w:szCs w:val="18"/>
        </w:rPr>
        <w:t xml:space="preserve">«__07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__июня</w:t>
      </w:r>
      <w:r>
        <w:rPr>
          <w:b/>
          <w:sz w:val="22"/>
          <w:szCs w:val="18"/>
        </w:rPr>
        <w:t xml:space="preserve">__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 xml:space="preserve">        </w:t>
        <w:tab/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_484-р_</w:t>
      </w:r>
      <w:r>
        <w:rPr>
          <w:sz w:val="22"/>
          <w:szCs w:val="22"/>
        </w:rPr>
      </w:r>
      <w:r>
        <w:rPr>
          <w:sz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>
        <w:trPr>
          <w:trHeight w:val="559"/>
        </w:trPr>
        <w:tc>
          <w:tcPr>
            <w:tcW w:w="723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признании многоквартирного дома, расположенного по адресу: Белгородская область, город Грайвор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он, улица Комсомольская, дом 3,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аварийным и подлежащим сносу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20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20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3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</w:t>
      </w:r>
      <w:r>
        <w:rPr>
          <w:sz w:val="28"/>
          <w:szCs w:val="28"/>
        </w:rPr>
        <w:t xml:space="preserve">оссийской Федерации</w:t>
      </w:r>
      <w:r>
        <w:rPr>
          <w:sz w:val="28"/>
          <w:szCs w:val="28"/>
        </w:rPr>
        <w:t xml:space="preserve">, постановлением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28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2006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47 «Об утверждении Положения о признании помеще</w:t>
      </w:r>
      <w:r>
        <w:rPr>
          <w:sz w:val="28"/>
          <w:szCs w:val="28"/>
        </w:rPr>
        <w:t xml:space="preserve">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распоряжением администрации Грайворонского городского округа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2019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54-р «О создании межведомственной Комиссии для обеспечения исполнения административных регламентов предоставления муниципальных услуг управлением по строительству, транспорту, ЖКХ и ТЭК администрации Грайворонского городского округа», </w:t>
      </w:r>
      <w:r>
        <w:rPr>
          <w:sz w:val="28"/>
          <w:szCs w:val="28"/>
        </w:rPr>
        <w:t xml:space="preserve">на основании заключени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межведомственной комиссии от 24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 года</w:t>
      </w:r>
      <w:r>
        <w:rPr>
          <w:sz w:val="28"/>
          <w:szCs w:val="28"/>
        </w:rPr>
        <w:t xml:space="preserve"> №1:</w:t>
      </w:r>
      <w:r/>
    </w:p>
    <w:p>
      <w:pPr>
        <w:numPr>
          <w:ilvl w:val="0"/>
          <w:numId w:val="5"/>
        </w:numPr>
        <w:ind w:left="0" w:firstLine="709"/>
        <w:jc w:val="both"/>
        <w:tabs>
          <w:tab w:val="clear" w:pos="928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Признать многоквартирный дом, расположенный по адресу: Белгородская область. Грайворонский район, город Грайворон,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улица Комсомольская, дом 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аварийным и подлежащим сносу.</w:t>
      </w:r>
      <w:r/>
    </w:p>
    <w:p>
      <w:pPr>
        <w:pStyle w:val="633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Обеспечить реализацию мероприятий по расселению граждан, предусмотренных Жилищным кодексом Российской Федерации.</w:t>
      </w:r>
      <w:r/>
    </w:p>
    <w:p>
      <w:pPr>
        <w:pStyle w:val="633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Опубликовать настоящее распоряжение в газете «Родной край»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</w:rPr>
        <w:t xml:space="preserve">graivoron-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.ru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городского округа – начальника управления </w:t>
      </w:r>
      <w:r>
        <w:rPr>
          <w:sz w:val="28"/>
          <w:szCs w:val="28"/>
        </w:rPr>
        <w:br/>
        <w:t xml:space="preserve">по строительству, транс</w:t>
      </w:r>
      <w:r>
        <w:rPr>
          <w:sz w:val="28"/>
          <w:szCs w:val="28"/>
        </w:rPr>
        <w:t xml:space="preserve">порту, ЖКХ и ТЭК Р.Г. Твердуна.</w:t>
      </w:r>
      <w:bookmarkStart w:id="0" w:name="_GoBack"/>
      <w:r/>
      <w:bookmarkEnd w:id="0"/>
      <w:r/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4761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ind w:left="-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/>
          </w:p>
        </w:tc>
        <w:tc>
          <w:tcPr>
            <w:tcW w:w="4821" w:type="dxa"/>
            <w:textDirection w:val="lrTb"/>
            <w:noWrap w:val="false"/>
          </w:tcPr>
          <w:p>
            <w:pPr>
              <w:ind w:right="-1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  <w:r/>
          </w:p>
        </w:tc>
      </w:tr>
    </w:tbl>
    <w:p>
      <w:pPr>
        <w:ind w:firstLine="720"/>
        <w:jc w:val="both"/>
        <w:tabs>
          <w:tab w:val="left" w:pos="1134" w:leader="none"/>
        </w:tabs>
        <w:rPr>
          <w:sz w:val="2"/>
          <w:szCs w:val="2"/>
        </w:rPr>
      </w:pP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425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4" w:hanging="122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8" w:hanging="36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8" w:hanging="36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8" w:hanging="360"/>
        <w:tabs>
          <w:tab w:val="num" w:pos="668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121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8"/>
    <w:next w:val="60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8"/>
    <w:next w:val="60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8"/>
    <w:next w:val="6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8"/>
    <w:next w:val="6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9"/>
    <w:link w:val="32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9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9"/>
    <w:link w:val="40"/>
    <w:uiPriority w:val="99"/>
  </w:style>
  <w:style w:type="paragraph" w:styleId="42">
    <w:name w:val="Footer"/>
    <w:basedOn w:val="60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9"/>
    <w:link w:val="42"/>
    <w:uiPriority w:val="99"/>
  </w:style>
  <w:style w:type="paragraph" w:styleId="44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9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9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rPr>
      <w:rFonts w:ascii="Times New Roman" w:hAnsi="Times New Roman" w:cs="Times New Roman"/>
      <w:sz w:val="24"/>
      <w:szCs w:val="24"/>
    </w:rPr>
  </w:style>
  <w:style w:type="character" w:styleId="609" w:default="1">
    <w:name w:val="Default Paragraph Font"/>
    <w:uiPriority w:val="1"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>
    <w:name w:val="Body Text"/>
    <w:basedOn w:val="608"/>
    <w:link w:val="613"/>
    <w:pPr>
      <w:spacing w:after="120"/>
    </w:pPr>
    <w:rPr>
      <w:sz w:val="20"/>
      <w:szCs w:val="20"/>
    </w:rPr>
  </w:style>
  <w:style w:type="character" w:styleId="613" w:customStyle="1">
    <w:name w:val="Основной текст Знак"/>
    <w:basedOn w:val="609"/>
    <w:link w:val="612"/>
    <w:rPr>
      <w:rFonts w:ascii="Times New Roman" w:hAnsi="Times New Roman" w:cs="Times New Roman"/>
    </w:rPr>
  </w:style>
  <w:style w:type="paragraph" w:styleId="614">
    <w:name w:val="Body Text Indent 2"/>
    <w:basedOn w:val="608"/>
    <w:link w:val="615"/>
    <w:pPr>
      <w:ind w:left="283"/>
      <w:spacing w:after="120" w:line="480" w:lineRule="auto"/>
    </w:pPr>
    <w:rPr>
      <w:sz w:val="20"/>
      <w:szCs w:val="20"/>
    </w:rPr>
  </w:style>
  <w:style w:type="character" w:styleId="615" w:customStyle="1">
    <w:name w:val="Основной текст с отступом 2 Знак"/>
    <w:basedOn w:val="609"/>
    <w:link w:val="614"/>
    <w:rPr>
      <w:rFonts w:ascii="Times New Roman" w:hAnsi="Times New Roman" w:cs="Times New Roman"/>
    </w:rPr>
  </w:style>
  <w:style w:type="paragraph" w:styleId="616">
    <w:name w:val="Balloon Text"/>
    <w:basedOn w:val="608"/>
    <w:link w:val="617"/>
    <w:uiPriority w:val="99"/>
    <w:semiHidden/>
    <w:unhideWhenUsed/>
    <w:rPr>
      <w:rFonts w:ascii="Tahoma" w:hAnsi="Tahoma" w:cs="Tahoma"/>
      <w:sz w:val="16"/>
      <w:szCs w:val="16"/>
    </w:rPr>
  </w:style>
  <w:style w:type="character" w:styleId="617" w:customStyle="1">
    <w:name w:val="Текст выноски Знак"/>
    <w:basedOn w:val="609"/>
    <w:link w:val="616"/>
    <w:uiPriority w:val="99"/>
    <w:semiHidden/>
    <w:rPr>
      <w:rFonts w:ascii="Tahoma" w:hAnsi="Tahoma" w:cs="Tahoma"/>
      <w:sz w:val="16"/>
      <w:szCs w:val="16"/>
    </w:rPr>
  </w:style>
  <w:style w:type="paragraph" w:styleId="618" w:customStyle="1">
    <w:name w:val="ConsPlusNormal"/>
    <w:uiPriority w:val="99"/>
    <w:pPr>
      <w:jc w:val="both"/>
      <w:widowControl w:val="off"/>
    </w:pPr>
    <w:rPr>
      <w:rFonts w:ascii="Arial" w:hAnsi="Arial" w:cs="Arial"/>
    </w:rPr>
  </w:style>
  <w:style w:type="paragraph" w:styleId="619">
    <w:name w:val="List Paragraph"/>
    <w:basedOn w:val="608"/>
    <w:uiPriority w:val="34"/>
    <w:qFormat/>
    <w:pPr>
      <w:contextualSpacing/>
      <w:ind w:left="720"/>
    </w:pPr>
  </w:style>
  <w:style w:type="paragraph" w:styleId="620">
    <w:name w:val="Normal (Web)"/>
    <w:basedOn w:val="608"/>
    <w:uiPriority w:val="99"/>
    <w:unhideWhenUsed/>
    <w:pPr>
      <w:spacing w:before="100" w:beforeAutospacing="1" w:after="100" w:afterAutospacing="1"/>
    </w:pPr>
  </w:style>
  <w:style w:type="paragraph" w:styleId="621" w:customStyle="1">
    <w:name w:val="paragraph"/>
    <w:basedOn w:val="608"/>
    <w:pPr>
      <w:spacing w:before="100" w:beforeAutospacing="1" w:after="100" w:afterAutospacing="1"/>
    </w:pPr>
  </w:style>
  <w:style w:type="character" w:styleId="622" w:customStyle="1">
    <w:name w:val="normaltextrun"/>
    <w:basedOn w:val="609"/>
  </w:style>
  <w:style w:type="character" w:styleId="623" w:customStyle="1">
    <w:name w:val="scxw111914594"/>
    <w:basedOn w:val="609"/>
  </w:style>
  <w:style w:type="character" w:styleId="624" w:customStyle="1">
    <w:name w:val="eop"/>
    <w:basedOn w:val="609"/>
  </w:style>
  <w:style w:type="character" w:styleId="625" w:customStyle="1">
    <w:name w:val="tabchar"/>
    <w:basedOn w:val="609"/>
  </w:style>
  <w:style w:type="character" w:styleId="626" w:customStyle="1">
    <w:name w:val="spellingerror"/>
    <w:basedOn w:val="609"/>
  </w:style>
  <w:style w:type="character" w:styleId="627" w:customStyle="1">
    <w:name w:val="Основной текст (2)_"/>
    <w:basedOn w:val="609"/>
    <w:link w:val="628"/>
    <w:uiPriority w:val="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628" w:customStyle="1">
    <w:name w:val="Основной текст (2)"/>
    <w:basedOn w:val="608"/>
    <w:link w:val="627"/>
    <w:uiPriority w:val="99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629" w:customStyle="1">
    <w:name w:val="docdata"/>
    <w:basedOn w:val="608"/>
    <w:pPr>
      <w:spacing w:before="100" w:beforeAutospacing="1" w:after="100" w:afterAutospacing="1"/>
    </w:pPr>
  </w:style>
  <w:style w:type="character" w:styleId="630" w:customStyle="1">
    <w:name w:val="1092"/>
    <w:basedOn w:val="609"/>
  </w:style>
  <w:style w:type="character" w:styleId="631" w:customStyle="1">
    <w:name w:val="1540"/>
    <w:basedOn w:val="609"/>
  </w:style>
  <w:style w:type="character" w:styleId="632" w:customStyle="1">
    <w:name w:val="1760"/>
    <w:basedOn w:val="609"/>
  </w:style>
  <w:style w:type="paragraph" w:styleId="633">
    <w:name w:val="No Spacing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C06987D-00F7-466C-94AA-ADC13D31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44</cp:revision>
  <dcterms:created xsi:type="dcterms:W3CDTF">2021-10-19T11:36:00Z</dcterms:created>
  <dcterms:modified xsi:type="dcterms:W3CDTF">2023-06-07T13:37:15Z</dcterms:modified>
</cp:coreProperties>
</file>