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2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0444513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672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67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72"/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67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72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72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7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72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РАСПОРЯЖЕНИЕ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672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672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672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672"/>
        <w:jc w:val="both"/>
        <w:rPr>
          <w:sz w:val="22"/>
        </w:rPr>
      </w:pPr>
      <w:r>
        <w:rPr>
          <w:b/>
          <w:sz w:val="22"/>
          <w:szCs w:val="18"/>
        </w:rPr>
        <w:t xml:space="preserve">«_13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__декабря</w:t>
      </w:r>
      <w:r>
        <w:rPr>
          <w:b/>
          <w:sz w:val="22"/>
          <w:szCs w:val="18"/>
        </w:rPr>
        <w:t xml:space="preserve">__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22_ г.</w:t>
        <w:tab/>
        <w:tab/>
        <w:tab/>
        <w:tab/>
        <w:tab/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_1316-р_</w:t>
      </w:r>
      <w:r>
        <w:rPr>
          <w:b/>
          <w:sz w:val="22"/>
          <w:szCs w:val="18"/>
        </w:rPr>
      </w:r>
      <w:r>
        <w:rPr>
          <w:sz w:val="22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7230" w:type="dxa"/>
        <w:tblInd w:w="1242" w:type="dxa"/>
        <w:tblLook w:val="01E0" w:firstRow="1" w:lastRow="1" w:firstColumn="1" w:lastColumn="1" w:noHBand="0" w:noVBand="0"/>
      </w:tblPr>
      <w:tblGrid>
        <w:gridCol w:w="7230"/>
      </w:tblGrid>
      <w:tr>
        <w:trPr>
          <w:trHeight w:val="290"/>
        </w:trPr>
        <w:tc>
          <w:tcPr>
            <w:tcW w:w="723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 xml:space="preserve">переч</w:t>
            </w:r>
            <w:r>
              <w:rPr>
                <w:b/>
                <w:sz w:val="28"/>
                <w:szCs w:val="28"/>
              </w:rPr>
              <w:t xml:space="preserve">ня</w:t>
            </w:r>
            <w:r>
              <w:rPr>
                <w:b/>
                <w:sz w:val="28"/>
                <w:szCs w:val="28"/>
              </w:rPr>
              <w:t xml:space="preserve"> подведомственных организаций и структурных подразделений Грайворонского городского округа, имеющих статус юридического лица, которые могут не создавать официальные страницы для размещения информации о своей деятельности в сети «Интернет»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учетом особенности сферы их деятельности</w:t>
            </w:r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</w:t>
      </w:r>
      <w:r>
        <w:rPr>
          <w:sz w:val="28"/>
          <w:szCs w:val="28"/>
        </w:rPr>
        <w:t xml:space="preserve"> со</w:t>
      </w:r>
      <w:r>
        <w:rPr>
          <w:sz w:val="28"/>
          <w:szCs w:val="28"/>
        </w:rPr>
        <w:t xml:space="preserve"> стать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10 Федерального закона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200</w:t>
      </w:r>
      <w:r>
        <w:rPr>
          <w:sz w:val="28"/>
          <w:szCs w:val="28"/>
        </w:rPr>
        <w:t xml:space="preserve">9 года № 8-</w:t>
      </w:r>
      <w:r>
        <w:rPr>
          <w:sz w:val="28"/>
          <w:szCs w:val="28"/>
        </w:rPr>
        <w:t xml:space="preserve">ФЗ</w:t>
      </w:r>
      <w:r>
        <w:rPr>
          <w:sz w:val="28"/>
          <w:szCs w:val="28"/>
        </w:rPr>
        <w:t xml:space="preserve"> «Об обеспечении доступа к информации о деятельности </w:t>
      </w:r>
      <w:r>
        <w:rPr>
          <w:sz w:val="28"/>
          <w:szCs w:val="28"/>
        </w:rPr>
        <w:t xml:space="preserve">государственных органов и органов местного самоуправления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 14</w:t>
      </w:r>
      <w:r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2022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270-ФЗ «О внесении изменений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Федеральный закон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Утвердить перечень подведомственных организаций и структурных подразделений Грайворонского городского округа, имеющих статус юридического лица, которые могут не создавать официальные страницы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размещения информации о своей деятельности в сети «Интернет» с учетом особенности сферы их деятельности</w:t>
      </w:r>
      <w:r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  <w:t xml:space="preserve">Опубликовать настоящее </w:t>
      </w:r>
      <w:r>
        <w:rPr>
          <w:sz w:val="28"/>
          <w:szCs w:val="28"/>
        </w:rPr>
        <w:t xml:space="preserve">распоряжение</w:t>
      </w:r>
      <w:r>
        <w:rPr>
          <w:sz w:val="28"/>
          <w:szCs w:val="28"/>
        </w:rPr>
        <w:t xml:space="preserve">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(grajvoron-r31.gosweb.gosuslugi.ru).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распоряжения возложить на заместителя главы администрации городского округа – руководителя аппарата главы администрации Е.А. Адаменко.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  <w:t xml:space="preserve">Настоящее распоряжение </w:t>
      </w:r>
      <w:r>
        <w:rPr>
          <w:sz w:val="28"/>
          <w:szCs w:val="28"/>
        </w:rPr>
        <w:t xml:space="preserve">вступает в силу со дня </w:t>
      </w:r>
      <w:r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официального опубликования.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821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W w:w="4821" w:type="dxa"/>
            <w:textDirection w:val="lrTb"/>
            <w:noWrap w:val="false"/>
          </w:tcPr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r>
        <w:br w:type="page"/>
      </w:r>
      <w:r/>
    </w:p>
    <w:tbl>
      <w:tblPr>
        <w:tblW w:w="0" w:type="auto"/>
        <w:tblInd w:w="499" w:type="dxa"/>
        <w:tblLayout w:type="fixed"/>
        <w:tblLook w:val="01E0" w:firstRow="1" w:lastRow="1" w:firstColumn="1" w:lastColumn="1" w:noHBand="0" w:noVBand="0"/>
      </w:tblPr>
      <w:tblGrid>
        <w:gridCol w:w="3760"/>
        <w:gridCol w:w="5352"/>
      </w:tblGrid>
      <w:tr>
        <w:trPr/>
        <w:tc>
          <w:tcPr>
            <w:tcW w:w="37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Приложение </w:t>
            </w:r>
            <w:r/>
          </w:p>
          <w:p>
            <w:pPr>
              <w:ind w:right="-108"/>
              <w:jc w:val="center"/>
              <w:widowControl w:val="o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</w:r>
            <w:r/>
          </w:p>
          <w:p>
            <w:pPr>
              <w:ind w:right="-108"/>
              <w:jc w:val="center"/>
              <w:widowControl w:val="o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УТВЕРЖДЕН </w:t>
            </w:r>
            <w:r/>
          </w:p>
          <w:p>
            <w:pPr>
              <w:ind w:right="-1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распоряжени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ем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администрации Грайворонского городского округа</w:t>
            </w:r>
            <w:r/>
          </w:p>
          <w:p>
            <w:pPr>
              <w:ind w:left="0" w:right="-391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от «_13_» _декабря_2022 года №_1316-р_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подведомственных организаций и структурных подразделений Грайворонского городского округа, имеющих статус юридического лица, которые могут не создавать официальные страницы </w:t>
      </w:r>
      <w:r>
        <w:rPr>
          <w:b/>
          <w:sz w:val="28"/>
          <w:szCs w:val="28"/>
        </w:rPr>
        <w:br/>
        <w:t xml:space="preserve">для размещения информации о своей деятельности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сети «Интернет» с учетом особенности сферы их деятельности</w:t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left="360"/>
        <w:jc w:val="both"/>
        <w:widowControl w:val="off"/>
        <w:tabs>
          <w:tab w:val="left" w:pos="1134" w:leader="none"/>
        </w:tabs>
        <w:rPr>
          <w:sz w:val="28"/>
        </w:rPr>
      </w:pPr>
      <w:r>
        <w:rPr>
          <w:sz w:val="28"/>
        </w:rPr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Муниципальное казенное учреждение «Административно-хозяйственная часть органов местного самоуправления Грайворонского городского округа»</w:t>
      </w:r>
      <w:r>
        <w:rPr>
          <w:sz w:val="28"/>
        </w:rPr>
        <w:t xml:space="preserve">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2.</w:t>
      </w:r>
      <w:r>
        <w:rPr>
          <w:sz w:val="28"/>
        </w:rPr>
        <w:tab/>
      </w:r>
      <w:r>
        <w:rPr>
          <w:sz w:val="28"/>
        </w:rPr>
        <w:t xml:space="preserve">М</w:t>
      </w:r>
      <w:r>
        <w:rPr>
          <w:sz w:val="28"/>
          <w:szCs w:val="28"/>
        </w:rPr>
        <w:t xml:space="preserve">униципальное казенное учреждение «Административно-хозяйственный центр» управления культуры и молодежной политики администрации Грайворонского городского округа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3.</w:t>
      </w:r>
      <w:r>
        <w:rPr>
          <w:sz w:val="28"/>
        </w:rPr>
        <w:tab/>
      </w:r>
      <w:r>
        <w:rPr>
          <w:sz w:val="28"/>
        </w:rPr>
        <w:t xml:space="preserve">Муниципальное автономное учреждение</w:t>
      </w:r>
      <w:r>
        <w:rPr>
          <w:sz w:val="28"/>
        </w:rPr>
        <w:t xml:space="preserve"> «Грайворонский фонд поддержки малого и среднего предпринимательства».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4.</w:t>
      </w:r>
      <w:r>
        <w:rPr>
          <w:sz w:val="28"/>
        </w:rPr>
        <w:tab/>
      </w:r>
      <w:r>
        <w:rPr>
          <w:sz w:val="28"/>
        </w:rPr>
        <w:t xml:space="preserve">Общество с ограниченной ответственностью</w:t>
      </w:r>
      <w:r>
        <w:rPr>
          <w:sz w:val="28"/>
        </w:rPr>
        <w:t xml:space="preserve"> «Универсал».</w:t>
      </w:r>
      <w:r/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</w:rPr>
        <w:t xml:space="preserve">5.</w:t>
      </w:r>
      <w:r>
        <w:rPr>
          <w:sz w:val="28"/>
        </w:rPr>
        <w:tab/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униципальное казенное учреждение «Центр бухгалтерского учета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отчетности Грайворонского городского округа»</w:t>
      </w:r>
      <w:r>
        <w:rPr>
          <w:sz w:val="28"/>
          <w:szCs w:val="28"/>
        </w:rPr>
        <w:t xml:space="preserve">.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510222"/>
      <w:docPartObj>
        <w:docPartGallery w:val="Page Numbers (Top of Page)"/>
        <w:docPartUnique w:val="true"/>
      </w:docPartObj>
      <w:rPr/>
    </w:sdtPr>
    <w:sdtContent>
      <w:p>
        <w:pPr>
          <w:pStyle w:val="693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6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4" w:hanging="122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121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2"/>
    <w:next w:val="67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7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2"/>
    <w:next w:val="67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7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2"/>
    <w:next w:val="67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7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2"/>
    <w:next w:val="67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7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2"/>
    <w:next w:val="67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7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2"/>
    <w:next w:val="67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7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2"/>
    <w:next w:val="67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7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2"/>
    <w:next w:val="67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7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2"/>
    <w:next w:val="67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7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72"/>
    <w:next w:val="67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73"/>
    <w:link w:val="32"/>
    <w:uiPriority w:val="10"/>
    <w:rPr>
      <w:sz w:val="48"/>
      <w:szCs w:val="48"/>
    </w:rPr>
  </w:style>
  <w:style w:type="paragraph" w:styleId="34">
    <w:name w:val="Subtitle"/>
    <w:basedOn w:val="672"/>
    <w:next w:val="67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73"/>
    <w:link w:val="34"/>
    <w:uiPriority w:val="11"/>
    <w:rPr>
      <w:sz w:val="24"/>
      <w:szCs w:val="24"/>
    </w:rPr>
  </w:style>
  <w:style w:type="paragraph" w:styleId="36">
    <w:name w:val="Quote"/>
    <w:basedOn w:val="672"/>
    <w:next w:val="67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2"/>
    <w:next w:val="67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73"/>
    <w:link w:val="693"/>
    <w:uiPriority w:val="99"/>
  </w:style>
  <w:style w:type="character" w:styleId="43">
    <w:name w:val="Footer Char"/>
    <w:basedOn w:val="673"/>
    <w:link w:val="695"/>
    <w:uiPriority w:val="99"/>
  </w:style>
  <w:style w:type="paragraph" w:styleId="44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95"/>
    <w:uiPriority w:val="99"/>
  </w:style>
  <w:style w:type="table" w:styleId="47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7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3"/>
    <w:uiPriority w:val="99"/>
    <w:unhideWhenUsed/>
    <w:rPr>
      <w:vertAlign w:val="superscript"/>
    </w:rPr>
  </w:style>
  <w:style w:type="paragraph" w:styleId="176">
    <w:name w:val="endnote text"/>
    <w:basedOn w:val="67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3"/>
    <w:uiPriority w:val="99"/>
    <w:semiHidden/>
    <w:unhideWhenUsed/>
    <w:rPr>
      <w:vertAlign w:val="superscript"/>
    </w:rPr>
  </w:style>
  <w:style w:type="paragraph" w:styleId="179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qFormat/>
    <w:rPr>
      <w:rFonts w:ascii="Times New Roman" w:hAnsi="Times New Roman" w:cs="Times New Roman"/>
      <w:sz w:val="24"/>
      <w:szCs w:val="24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paragraph" w:styleId="676">
    <w:name w:val="Body Text"/>
    <w:basedOn w:val="672"/>
    <w:link w:val="677"/>
    <w:pPr>
      <w:spacing w:after="120"/>
    </w:pPr>
    <w:rPr>
      <w:sz w:val="20"/>
      <w:szCs w:val="20"/>
    </w:rPr>
  </w:style>
  <w:style w:type="character" w:styleId="677" w:customStyle="1">
    <w:name w:val="Основной текст Знак"/>
    <w:basedOn w:val="673"/>
    <w:link w:val="676"/>
    <w:rPr>
      <w:rFonts w:ascii="Times New Roman" w:hAnsi="Times New Roman" w:cs="Times New Roman"/>
    </w:rPr>
  </w:style>
  <w:style w:type="paragraph" w:styleId="678">
    <w:name w:val="Body Text Indent 2"/>
    <w:basedOn w:val="672"/>
    <w:link w:val="679"/>
    <w:pPr>
      <w:ind w:left="283"/>
      <w:spacing w:after="120" w:line="480" w:lineRule="auto"/>
    </w:pPr>
    <w:rPr>
      <w:sz w:val="20"/>
      <w:szCs w:val="20"/>
    </w:rPr>
  </w:style>
  <w:style w:type="character" w:styleId="679" w:customStyle="1">
    <w:name w:val="Основной текст с отступом 2 Знак"/>
    <w:basedOn w:val="673"/>
    <w:link w:val="678"/>
    <w:rPr>
      <w:rFonts w:ascii="Times New Roman" w:hAnsi="Times New Roman" w:cs="Times New Roman"/>
    </w:rPr>
  </w:style>
  <w:style w:type="paragraph" w:styleId="680">
    <w:name w:val="Balloon Text"/>
    <w:basedOn w:val="672"/>
    <w:link w:val="681"/>
    <w:uiPriority w:val="99"/>
    <w:semiHidden/>
    <w:unhideWhenUsed/>
    <w:rPr>
      <w:rFonts w:ascii="Tahoma" w:hAnsi="Tahoma" w:cs="Tahoma"/>
      <w:sz w:val="16"/>
      <w:szCs w:val="16"/>
    </w:rPr>
  </w:style>
  <w:style w:type="character" w:styleId="681" w:customStyle="1">
    <w:name w:val="Текст выноски Знак"/>
    <w:basedOn w:val="673"/>
    <w:link w:val="680"/>
    <w:uiPriority w:val="99"/>
    <w:semiHidden/>
    <w:rPr>
      <w:rFonts w:ascii="Tahoma" w:hAnsi="Tahoma" w:cs="Tahoma"/>
      <w:sz w:val="16"/>
      <w:szCs w:val="16"/>
    </w:rPr>
  </w:style>
  <w:style w:type="paragraph" w:styleId="682" w:customStyle="1">
    <w:name w:val="ConsPlusNormal"/>
    <w:uiPriority w:val="99"/>
    <w:pPr>
      <w:jc w:val="both"/>
      <w:widowControl w:val="off"/>
    </w:pPr>
    <w:rPr>
      <w:rFonts w:ascii="Arial" w:hAnsi="Arial" w:cs="Arial"/>
    </w:rPr>
  </w:style>
  <w:style w:type="paragraph" w:styleId="683">
    <w:name w:val="List Paragraph"/>
    <w:basedOn w:val="672"/>
    <w:uiPriority w:val="34"/>
    <w:qFormat/>
    <w:pPr>
      <w:contextualSpacing/>
      <w:ind w:left="720"/>
    </w:pPr>
  </w:style>
  <w:style w:type="paragraph" w:styleId="684">
    <w:name w:val="Normal (Web)"/>
    <w:basedOn w:val="672"/>
    <w:uiPriority w:val="99"/>
    <w:unhideWhenUsed/>
    <w:pPr>
      <w:spacing w:before="100" w:beforeAutospacing="1" w:after="100" w:afterAutospacing="1"/>
    </w:pPr>
  </w:style>
  <w:style w:type="paragraph" w:styleId="685" w:customStyle="1">
    <w:name w:val="paragraph"/>
    <w:basedOn w:val="672"/>
    <w:pPr>
      <w:spacing w:before="100" w:beforeAutospacing="1" w:after="100" w:afterAutospacing="1"/>
    </w:pPr>
  </w:style>
  <w:style w:type="character" w:styleId="686" w:customStyle="1">
    <w:name w:val="normaltextrun"/>
    <w:basedOn w:val="673"/>
  </w:style>
  <w:style w:type="character" w:styleId="687" w:customStyle="1">
    <w:name w:val="scxw111914594"/>
    <w:basedOn w:val="673"/>
  </w:style>
  <w:style w:type="character" w:styleId="688" w:customStyle="1">
    <w:name w:val="eop"/>
    <w:basedOn w:val="673"/>
  </w:style>
  <w:style w:type="character" w:styleId="689" w:customStyle="1">
    <w:name w:val="tabchar"/>
    <w:basedOn w:val="673"/>
  </w:style>
  <w:style w:type="character" w:styleId="690" w:customStyle="1">
    <w:name w:val="spellingerror"/>
    <w:basedOn w:val="673"/>
  </w:style>
  <w:style w:type="character" w:styleId="691" w:customStyle="1">
    <w:name w:val="Основной текст (2)_"/>
    <w:basedOn w:val="673"/>
    <w:link w:val="692"/>
    <w:uiPriority w:val="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692" w:customStyle="1">
    <w:name w:val="Основной текст (2)"/>
    <w:basedOn w:val="672"/>
    <w:link w:val="691"/>
    <w:uiPriority w:val="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693">
    <w:name w:val="Header"/>
    <w:basedOn w:val="672"/>
    <w:link w:val="6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4" w:customStyle="1">
    <w:name w:val="Верхний колонтитул Знак"/>
    <w:basedOn w:val="673"/>
    <w:link w:val="693"/>
    <w:uiPriority w:val="99"/>
    <w:rPr>
      <w:rFonts w:ascii="Times New Roman" w:hAnsi="Times New Roman" w:cs="Times New Roman"/>
      <w:sz w:val="24"/>
      <w:szCs w:val="24"/>
    </w:rPr>
  </w:style>
  <w:style w:type="paragraph" w:styleId="695">
    <w:name w:val="Footer"/>
    <w:basedOn w:val="672"/>
    <w:link w:val="69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96" w:customStyle="1">
    <w:name w:val="Нижний колонтитул Знак"/>
    <w:basedOn w:val="673"/>
    <w:link w:val="695"/>
    <w:uiPriority w:val="99"/>
    <w:semiHidden/>
    <w:rPr>
      <w:rFonts w:ascii="Times New Roman" w:hAnsi="Times New Roman" w:cs="Times New Roman"/>
      <w:sz w:val="24"/>
      <w:szCs w:val="24"/>
    </w:rPr>
  </w:style>
  <w:style w:type="table" w:styleId="697">
    <w:name w:val="Table Grid"/>
    <w:basedOn w:val="674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98">
    <w:name w:val="Hyperlink"/>
    <w:basedOn w:val="673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E70D932-B266-4994-BF09-5835B420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6</cp:revision>
  <dcterms:created xsi:type="dcterms:W3CDTF">2022-12-08T05:59:00Z</dcterms:created>
  <dcterms:modified xsi:type="dcterms:W3CDTF">2022-12-13T12:27:22Z</dcterms:modified>
</cp:coreProperties>
</file>