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5.xml" ContentType="application/vnd.openxmlformats-officedocument.wordprocessingml.header+xml"/>
  <Override PartName="/word/header4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06"/>
        <w:ind w:left="783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</w:r>
      <w:r/>
    </w:p>
    <w:p>
      <w:pPr>
        <w:pStyle w:val="685"/>
        <w:jc w:val="center"/>
        <w:tabs>
          <w:tab w:val="left" w:pos="5580" w:leader="none"/>
        </w:tabs>
      </w:pPr>
      <w:r>
        <w:rPr>
          <w:b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524288" behindDoc="1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-114299</wp:posOffset>
                </wp:positionV>
                <wp:extent cx="605790" cy="685800"/>
                <wp:effectExtent l="0" t="0" r="0" b="0"/>
                <wp:wrapNone/>
                <wp:docPr id="1" name="" hidden="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25993055" name="" hidden="0"/>
                        <pic:cNvPicPr/>
                        <pic:nvPr isPhoto="0" userDrawn="0"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60579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mso-wrap-distance-left:9.0pt;mso-wrap-distance-top:0.0pt;mso-wrap-distance-right:9.0pt;mso-wrap-distance-bottom:0.0pt;z-index:-524288;o:allowoverlap:true;o:allowincell:true;mso-position-horizontal-relative:text;margin-left:216.0pt;mso-position-horizontal:absolute;mso-position-vertical-relative:text;margin-top:-9.0pt;mso-position-vertical:absolute;width:47.7pt;height:54.0pt;" stroked="f">
                <v:path textboxrect="0,0,0,0"/>
                <v:imagedata r:id="rId13" o:title=""/>
              </v:shape>
            </w:pict>
          </mc:Fallback>
        </mc:AlternateContent>
      </w:r>
      <w:r>
        <w:rPr>
          <w:b/>
          <w:sz w:val="36"/>
          <w:szCs w:val="36"/>
        </w:rPr>
      </w:r>
      <w:r/>
    </w:p>
    <w:p>
      <w:pPr>
        <w:pStyle w:val="685"/>
        <w:jc w:val="center"/>
      </w:pPr>
      <w:r>
        <w:rPr>
          <w:b/>
          <w:sz w:val="32"/>
          <w:szCs w:val="32"/>
        </w:rPr>
      </w:r>
      <w:r>
        <w:rPr>
          <w:b/>
          <w:sz w:val="32"/>
          <w:szCs w:val="32"/>
        </w:rPr>
      </w:r>
      <w:r/>
    </w:p>
    <w:p>
      <w:pPr>
        <w:pStyle w:val="685"/>
        <w:jc w:val="center"/>
        <w:outlineLvl w:val="0"/>
      </w:pPr>
      <w:r>
        <w:rPr>
          <w:b/>
          <w:sz w:val="10"/>
          <w:szCs w:val="10"/>
        </w:rPr>
      </w:r>
      <w:r>
        <w:rPr>
          <w:b/>
          <w:sz w:val="10"/>
          <w:szCs w:val="10"/>
        </w:rPr>
      </w:r>
      <w:r/>
    </w:p>
    <w:p>
      <w:pPr>
        <w:pStyle w:val="685"/>
        <w:jc w:val="center"/>
        <w:rPr>
          <w:rFonts w:ascii="Arial" w:hAnsi="Arial"/>
        </w:rPr>
        <w:outlineLvl w:val="0"/>
      </w:pPr>
      <w:r>
        <w:rPr>
          <w:rFonts w:ascii="Arial" w:hAnsi="Arial"/>
          <w:b/>
          <w:sz w:val="20"/>
          <w:szCs w:val="20"/>
        </w:rPr>
        <w:t xml:space="preserve">Б е л г о р о д с к а я   о б л а с т ь</w:t>
      </w:r>
      <w:r>
        <w:rPr>
          <w:rFonts w:ascii="Arial" w:hAnsi="Arial"/>
          <w:b/>
          <w:sz w:val="20"/>
          <w:szCs w:val="20"/>
        </w:rPr>
      </w:r>
      <w:r/>
    </w:p>
    <w:p>
      <w:pPr>
        <w:pStyle w:val="685"/>
        <w:jc w:val="center"/>
        <w:outlineLvl w:val="0"/>
      </w:pPr>
      <w:r>
        <w:rPr>
          <w:b/>
          <w:sz w:val="10"/>
          <w:szCs w:val="10"/>
        </w:rPr>
      </w:r>
      <w:r>
        <w:rPr>
          <w:b/>
          <w:sz w:val="10"/>
          <w:szCs w:val="10"/>
        </w:rPr>
      </w:r>
      <w:r/>
    </w:p>
    <w:p>
      <w:pPr>
        <w:pStyle w:val="685"/>
        <w:jc w:val="center"/>
        <w:rPr>
          <w:rFonts w:ascii="Arial Narrow" w:hAnsi="Arial Narrow"/>
        </w:rPr>
        <w:outlineLvl w:val="0"/>
      </w:pPr>
      <w:r>
        <w:rPr>
          <w:rFonts w:ascii="Arial Narrow" w:hAnsi="Arial Narrow"/>
          <w:b/>
          <w:sz w:val="32"/>
          <w:szCs w:val="32"/>
        </w:rPr>
        <w:t xml:space="preserve">АДМИНИСТРАЦИ</w:t>
      </w:r>
      <w:r>
        <w:rPr>
          <w:rFonts w:ascii="Arial Narrow" w:hAnsi="Arial Narrow"/>
          <w:b/>
          <w:sz w:val="32"/>
          <w:szCs w:val="32"/>
        </w:rPr>
        <w:t xml:space="preserve">Я</w:t>
      </w:r>
      <w:r>
        <w:rPr>
          <w:rFonts w:ascii="Arial Narrow" w:hAnsi="Arial Narrow"/>
          <w:b/>
          <w:sz w:val="32"/>
          <w:szCs w:val="32"/>
        </w:rPr>
        <w:t xml:space="preserve"> </w:t>
      </w:r>
      <w:r>
        <w:rPr>
          <w:rFonts w:ascii="Arial Narrow" w:hAnsi="Arial Narrow"/>
          <w:b/>
          <w:sz w:val="32"/>
          <w:szCs w:val="32"/>
        </w:rPr>
      </w:r>
      <w:r/>
    </w:p>
    <w:p>
      <w:pPr>
        <w:pStyle w:val="685"/>
        <w:jc w:val="center"/>
        <w:rPr>
          <w:rFonts w:ascii="Arial Narrow" w:hAnsi="Arial Narrow"/>
        </w:rPr>
        <w:outlineLvl w:val="0"/>
      </w:pPr>
      <w:r>
        <w:rPr>
          <w:rFonts w:ascii="Arial Narrow" w:hAnsi="Arial Narrow"/>
          <w:b/>
          <w:sz w:val="32"/>
          <w:szCs w:val="32"/>
        </w:rPr>
        <w:t xml:space="preserve">ГРАЙВОРОНСКОГО ГОРОДСКОГО ОКРУГА</w:t>
      </w:r>
      <w:r>
        <w:rPr>
          <w:rFonts w:ascii="Arial Narrow" w:hAnsi="Arial Narrow"/>
          <w:b/>
          <w:sz w:val="32"/>
          <w:szCs w:val="32"/>
        </w:rPr>
      </w:r>
      <w:r/>
    </w:p>
    <w:p>
      <w:pPr>
        <w:pStyle w:val="685"/>
        <w:jc w:val="center"/>
        <w:outlineLvl w:val="0"/>
      </w:pPr>
      <w:r>
        <w:rPr>
          <w:b/>
          <w:sz w:val="10"/>
          <w:szCs w:val="10"/>
        </w:rPr>
      </w:r>
      <w:r>
        <w:rPr>
          <w:b/>
          <w:sz w:val="10"/>
          <w:szCs w:val="10"/>
        </w:rPr>
      </w:r>
      <w:r/>
    </w:p>
    <w:p>
      <w:pPr>
        <w:pStyle w:val="685"/>
        <w:jc w:val="center"/>
        <w:rPr>
          <w:rFonts w:ascii="Arial" w:hAnsi="Arial"/>
        </w:rPr>
        <w:outlineLvl w:val="0"/>
      </w:pPr>
      <w:r>
        <w:rPr>
          <w:rFonts w:ascii="Arial" w:hAnsi="Arial"/>
          <w:spacing w:val="20"/>
          <w:sz w:val="32"/>
          <w:szCs w:val="32"/>
        </w:rPr>
        <w:t xml:space="preserve">ПОСТАНОВЛЕНИЕ</w:t>
      </w:r>
      <w:r>
        <w:rPr>
          <w:rFonts w:ascii="Arial" w:hAnsi="Arial"/>
          <w:spacing w:val="20"/>
          <w:sz w:val="32"/>
          <w:szCs w:val="32"/>
        </w:rPr>
      </w:r>
      <w:r/>
    </w:p>
    <w:p>
      <w:pPr>
        <w:pStyle w:val="685"/>
        <w:jc w:val="center"/>
        <w:rPr>
          <w:rFonts w:ascii="Arial" w:hAnsi="Arial"/>
        </w:rPr>
      </w:pPr>
      <w:r>
        <w:rPr>
          <w:rFonts w:ascii="Arial" w:hAnsi="Arial"/>
          <w:b/>
          <w:sz w:val="4"/>
          <w:szCs w:val="4"/>
        </w:rPr>
      </w:r>
      <w:r>
        <w:rPr>
          <w:rFonts w:ascii="Arial" w:hAnsi="Arial"/>
          <w:b/>
          <w:sz w:val="4"/>
          <w:szCs w:val="4"/>
        </w:rPr>
      </w:r>
      <w:r/>
    </w:p>
    <w:p>
      <w:pPr>
        <w:pStyle w:val="685"/>
        <w:jc w:val="center"/>
        <w:rPr>
          <w:rFonts w:ascii="Arial" w:hAnsi="Arial"/>
        </w:rPr>
      </w:pPr>
      <w:r>
        <w:rPr>
          <w:rFonts w:ascii="Arial" w:hAnsi="Arial"/>
          <w:b/>
          <w:sz w:val="17"/>
          <w:szCs w:val="17"/>
        </w:rPr>
        <w:t xml:space="preserve">Грайворон</w:t>
      </w:r>
      <w:r>
        <w:rPr>
          <w:rFonts w:ascii="Arial" w:hAnsi="Arial"/>
          <w:b/>
          <w:sz w:val="17"/>
          <w:szCs w:val="17"/>
        </w:rPr>
      </w:r>
      <w:r/>
    </w:p>
    <w:p>
      <w:pPr>
        <w:pStyle w:val="685"/>
        <w:jc w:val="center"/>
      </w:pPr>
      <w:r>
        <w:rPr>
          <w:b/>
          <w:sz w:val="6"/>
          <w:szCs w:val="6"/>
        </w:rPr>
      </w:r>
      <w:r>
        <w:rPr>
          <w:b/>
          <w:sz w:val="6"/>
          <w:szCs w:val="6"/>
        </w:rPr>
      </w:r>
      <w:r/>
    </w:p>
    <w:p>
      <w:pPr>
        <w:pStyle w:val="685"/>
        <w:jc w:val="both"/>
        <w:rPr>
          <w:sz w:val="22"/>
        </w:rPr>
      </w:pPr>
      <w:r>
        <w:rPr>
          <w:b/>
          <w:sz w:val="22"/>
          <w:szCs w:val="18"/>
        </w:rPr>
        <w:t xml:space="preserve">«_26</w:t>
      </w:r>
      <w:r>
        <w:rPr>
          <w:b/>
          <w:sz w:val="22"/>
          <w:szCs w:val="18"/>
        </w:rPr>
        <w:t xml:space="preserve">_</w:t>
      </w:r>
      <w:r>
        <w:rPr>
          <w:b/>
          <w:sz w:val="22"/>
          <w:szCs w:val="18"/>
        </w:rPr>
        <w:t xml:space="preserve"> »  __апреля</w:t>
      </w:r>
      <w:r>
        <w:rPr>
          <w:b/>
          <w:sz w:val="22"/>
          <w:szCs w:val="18"/>
        </w:rPr>
        <w:t xml:space="preserve">__</w:t>
      </w:r>
      <w:r>
        <w:rPr>
          <w:b/>
          <w:sz w:val="22"/>
          <w:szCs w:val="18"/>
        </w:rPr>
        <w:t xml:space="preserve"> 20</w:t>
      </w:r>
      <w:r>
        <w:rPr>
          <w:b/>
          <w:sz w:val="22"/>
          <w:szCs w:val="18"/>
        </w:rPr>
        <w:t xml:space="preserve">23_ г.</w:t>
        <w:tab/>
        <w:tab/>
        <w:tab/>
        <w:tab/>
        <w:tab/>
        <w:tab/>
      </w:r>
      <w:r>
        <w:rPr>
          <w:b/>
          <w:sz w:val="22"/>
          <w:szCs w:val="18"/>
        </w:rPr>
        <w:tab/>
        <w:tab/>
        <w:t xml:space="preserve">            </w:t>
      </w:r>
      <w:r>
        <w:rPr>
          <w:b/>
          <w:sz w:val="22"/>
          <w:szCs w:val="18"/>
        </w:rPr>
        <w:t xml:space="preserve">№</w:t>
      </w:r>
      <w:r>
        <w:rPr>
          <w:b/>
          <w:sz w:val="22"/>
          <w:szCs w:val="18"/>
        </w:rPr>
        <w:t xml:space="preserve"> _268_</w:t>
      </w:r>
      <w:r>
        <w:rPr>
          <w:b/>
          <w:sz w:val="22"/>
          <w:szCs w:val="18"/>
        </w:rPr>
      </w:r>
      <w:r>
        <w:rPr>
          <w:sz w:val="22"/>
        </w:rPr>
      </w:r>
    </w:p>
    <w:p>
      <w:pPr>
        <w:pStyle w:val="706"/>
        <w:ind w:left="0"/>
        <w:jc w:val="both"/>
        <w:rPr>
          <w:b/>
          <w:sz w:val="22"/>
          <w:szCs w:val="28"/>
        </w:rPr>
      </w:pPr>
      <w:r>
        <w:rPr>
          <w:b/>
          <w:sz w:val="22"/>
          <w:szCs w:val="28"/>
        </w:rPr>
      </w:r>
      <w:r>
        <w:rPr>
          <w:sz w:val="22"/>
        </w:rPr>
      </w:r>
    </w:p>
    <w:p>
      <w:pPr>
        <w:pStyle w:val="706"/>
        <w:ind w:left="783"/>
        <w:jc w:val="both"/>
        <w:rPr>
          <w:b/>
          <w:sz w:val="22"/>
          <w:szCs w:val="28"/>
        </w:rPr>
      </w:pPr>
      <w:r>
        <w:rPr>
          <w:b/>
          <w:sz w:val="22"/>
          <w:szCs w:val="28"/>
        </w:rPr>
      </w:r>
      <w:r>
        <w:rPr>
          <w:sz w:val="22"/>
        </w:rPr>
      </w:r>
    </w:p>
    <w:tbl>
      <w:tblPr>
        <w:tblW w:w="7230" w:type="dxa"/>
        <w:tblInd w:w="1101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7230"/>
      </w:tblGrid>
      <w:tr>
        <w:trPr>
          <w:trHeight w:val="31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7230" w:type="dxa"/>
            <w:vAlign w:val="top"/>
            <w:textDirection w:val="lrTb"/>
            <w:noWrap w:val="false"/>
          </w:tcPr>
          <w:p>
            <w:pPr>
              <w:pStyle w:val="685"/>
              <w:jc w:val="center"/>
              <w:widowControl w:val="off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О внесении изменений в постановление </w:t>
            </w:r>
            <w:r>
              <w:rPr>
                <w:b/>
                <w:sz w:val="26"/>
                <w:szCs w:val="26"/>
              </w:rPr>
            </w:r>
            <w:r/>
          </w:p>
          <w:p>
            <w:pPr>
              <w:pStyle w:val="685"/>
              <w:jc w:val="center"/>
              <w:widowControl w:val="off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администрации муниципального района </w:t>
            </w:r>
            <w:r>
              <w:rPr>
                <w:b/>
                <w:sz w:val="26"/>
                <w:szCs w:val="26"/>
              </w:rPr>
            </w:r>
            <w:r/>
          </w:p>
          <w:p>
            <w:pPr>
              <w:pStyle w:val="685"/>
              <w:jc w:val="center"/>
              <w:widowControl w:val="off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«Грайворонский район» Белгородской области</w:t>
            </w:r>
            <w:r/>
          </w:p>
          <w:p>
            <w:pPr>
              <w:pStyle w:val="685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от 07 октября 2014 года № 573-п</w:t>
            </w:r>
            <w:r>
              <w:rPr>
                <w:b/>
                <w:sz w:val="26"/>
                <w:szCs w:val="26"/>
              </w:rPr>
            </w:r>
            <w:r/>
          </w:p>
        </w:tc>
      </w:tr>
    </w:tbl>
    <w:p>
      <w:pPr>
        <w:pStyle w:val="706"/>
        <w:ind w:left="783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  <w:r/>
    </w:p>
    <w:p>
      <w:pPr>
        <w:pStyle w:val="685"/>
        <w:ind w:firstLine="720"/>
        <w:jc w:val="both"/>
        <w:tabs>
          <w:tab w:val="left" w:pos="1134" w:leader="none"/>
        </w:tabs>
        <w:rPr>
          <w:b/>
          <w:spacing w:val="40"/>
          <w:sz w:val="26"/>
          <w:szCs w:val="26"/>
        </w:rPr>
      </w:pPr>
      <w:r>
        <w:rPr>
          <w:sz w:val="26"/>
          <w:szCs w:val="26"/>
        </w:rPr>
        <w:t xml:space="preserve">В соответствии статьей 37 Федерального закона от 28 июня 2014 года №172-ФЗ «О стратегическом планировании в Российской Федерации», статьей 179 Бюджетного кодекса Российской Федерации, уточненными показателями финансирования </w:t>
      </w:r>
      <w:r>
        <w:rPr>
          <w:sz w:val="26"/>
          <w:szCs w:val="26"/>
        </w:rPr>
        <w:br/>
      </w:r>
      <w:r>
        <w:rPr>
          <w:sz w:val="26"/>
          <w:szCs w:val="26"/>
        </w:rPr>
        <w:t xml:space="preserve">в 2022 - 2023 годах </w:t>
      </w:r>
      <w:r>
        <w:rPr>
          <w:b/>
          <w:spacing w:val="40"/>
          <w:sz w:val="26"/>
          <w:szCs w:val="26"/>
        </w:rPr>
        <w:t xml:space="preserve">постановля</w:t>
      </w:r>
      <w:r>
        <w:rPr>
          <w:b/>
          <w:sz w:val="26"/>
          <w:szCs w:val="26"/>
        </w:rPr>
        <w:t xml:space="preserve">ю:</w:t>
      </w:r>
      <w:r>
        <w:rPr>
          <w:b/>
          <w:spacing w:val="40"/>
          <w:sz w:val="26"/>
          <w:szCs w:val="26"/>
        </w:rPr>
      </w:r>
      <w:r/>
    </w:p>
    <w:p>
      <w:pPr>
        <w:pStyle w:val="685"/>
        <w:ind w:firstLine="720"/>
        <w:jc w:val="both"/>
        <w:tabs>
          <w:tab w:val="left" w:pos="1134" w:leader="none"/>
        </w:tabs>
        <w:rPr>
          <w:b/>
          <w:sz w:val="26"/>
          <w:szCs w:val="26"/>
        </w:rPr>
      </w:pPr>
      <w:r>
        <w:rPr>
          <w:sz w:val="26"/>
          <w:szCs w:val="26"/>
        </w:rPr>
        <w:t xml:space="preserve">1.</w:t>
      </w:r>
      <w:r>
        <w:rPr>
          <w:b/>
          <w:sz w:val="26"/>
          <w:szCs w:val="26"/>
        </w:rPr>
        <w:tab/>
      </w:r>
      <w:r>
        <w:rPr>
          <w:sz w:val="26"/>
          <w:szCs w:val="26"/>
        </w:rPr>
        <w:t xml:space="preserve">Внести следующие изменения в постановление администрации муниципального района «Грайворонский район» Белгородской области </w:t>
        <w:br/>
      </w:r>
      <w:r>
        <w:rPr>
          <w:sz w:val="26"/>
          <w:szCs w:val="26"/>
        </w:rPr>
        <w:t xml:space="preserve">от 07 октября 2014 года №</w:t>
      </w:r>
      <w:r>
        <w:rPr>
          <w:sz w:val="26"/>
          <w:szCs w:val="26"/>
        </w:rPr>
        <w:t xml:space="preserve">573-п «Об утверждении муниципальной программы»:</w:t>
      </w:r>
      <w:r>
        <w:rPr>
          <w:b/>
          <w:sz w:val="26"/>
          <w:szCs w:val="26"/>
        </w:rPr>
      </w:r>
      <w:r/>
    </w:p>
    <w:p>
      <w:pPr>
        <w:pStyle w:val="685"/>
        <w:ind w:firstLine="720"/>
        <w:jc w:val="both"/>
        <w:tabs>
          <w:tab w:val="left" w:pos="1134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муниципальную программу </w:t>
      </w:r>
      <w:r>
        <w:rPr>
          <w:sz w:val="26"/>
          <w:szCs w:val="26"/>
        </w:rPr>
        <w:t xml:space="preserve">Грайворонского городского округа </w:t>
      </w:r>
      <w:r>
        <w:rPr>
          <w:sz w:val="26"/>
          <w:szCs w:val="26"/>
        </w:rPr>
        <w:t xml:space="preserve">«Совершенствование и развитие транспортной системы и дорожной сети Грайворонского городского округа», утвержденную в пункте 1 вышеназванного постановления, изложить в редакции согласно приложению к настоящему постановлению</w:t>
      </w:r>
      <w:r>
        <w:rPr>
          <w:sz w:val="26"/>
          <w:szCs w:val="26"/>
        </w:rPr>
        <w:t xml:space="preserve">;</w:t>
      </w:r>
      <w:r/>
    </w:p>
    <w:p>
      <w:pPr>
        <w:pStyle w:val="685"/>
        <w:ind w:firstLine="720"/>
        <w:jc w:val="both"/>
        <w:tabs>
          <w:tab w:val="left" w:pos="1134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пункт 2 вышеназванного постановления изложить в следующей редакции:</w:t>
      </w:r>
      <w:r/>
    </w:p>
    <w:p>
      <w:pPr>
        <w:pStyle w:val="685"/>
        <w:ind w:firstLine="720"/>
        <w:jc w:val="both"/>
        <w:tabs>
          <w:tab w:val="left" w:pos="1134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«2. Комитету финансов и налоговой политики администрации Грайворонского городского округа (Ягич И.Н.) предусмотреть в бюджете администрации Грайворонского городского округа денежные средства на реализацию Муниципальной программы.»;</w:t>
      </w:r>
      <w:r/>
    </w:p>
    <w:p>
      <w:pPr>
        <w:pStyle w:val="685"/>
        <w:ind w:firstLine="720"/>
        <w:jc w:val="both"/>
        <w:tabs>
          <w:tab w:val="left" w:pos="1134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в пункте 3 вышеназванного постановления слова «первого заместителя главы администрации района В.А. Скочко» заменить словами «заместителя главы администрации городского округа – начальника управления </w:t>
        <w:br/>
        <w:t xml:space="preserve">по строительству, транспорту, ЖКХ и ТЭК Р.Г. Твердуна».</w:t>
      </w:r>
      <w:r>
        <w:rPr>
          <w:sz w:val="26"/>
          <w:szCs w:val="26"/>
        </w:rPr>
        <w:t xml:space="preserve"> </w:t>
      </w:r>
      <w:r/>
    </w:p>
    <w:p>
      <w:pPr>
        <w:pStyle w:val="685"/>
        <w:ind w:firstLine="720"/>
        <w:jc w:val="both"/>
        <w:tabs>
          <w:tab w:val="left" w:pos="1134" w:leader="none"/>
          <w:tab w:val="left" w:pos="1276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2</w:t>
      </w:r>
      <w:r>
        <w:rPr>
          <w:sz w:val="26"/>
          <w:szCs w:val="26"/>
        </w:rPr>
        <w:t xml:space="preserve">.</w:t>
        <w:tab/>
        <w:t xml:space="preserve">Опубликовать настоящее постановление в газете «Родной край»                      и сетевом издании «Родной край 31» (rodkray31.ru), разместить на официальном сайте органов местного самоуправления Грайворонского городского округа </w:t>
      </w:r>
      <w:r>
        <w:rPr>
          <w:sz w:val="26"/>
          <w:szCs w:val="26"/>
        </w:rPr>
        <w:br/>
      </w:r>
      <w:r>
        <w:rPr>
          <w:sz w:val="26"/>
          <w:szCs w:val="26"/>
        </w:rPr>
        <w:t xml:space="preserve">(</w:t>
      </w:r>
      <w:r>
        <w:rPr>
          <w:sz w:val="26"/>
          <w:szCs w:val="26"/>
          <w:lang w:val="en-US"/>
        </w:rPr>
        <w:t xml:space="preserve">grajvoron</w:t>
      </w:r>
      <w:r>
        <w:rPr>
          <w:sz w:val="26"/>
          <w:szCs w:val="26"/>
        </w:rPr>
        <w:t xml:space="preserve">-</w:t>
      </w:r>
      <w:r>
        <w:rPr>
          <w:sz w:val="26"/>
          <w:szCs w:val="26"/>
          <w:lang w:val="en-US"/>
        </w:rPr>
        <w:t xml:space="preserve">r</w:t>
      </w:r>
      <w:r>
        <w:rPr>
          <w:sz w:val="26"/>
          <w:szCs w:val="26"/>
        </w:rPr>
        <w:t xml:space="preserve">31.</w:t>
      </w:r>
      <w:r>
        <w:rPr>
          <w:sz w:val="26"/>
          <w:szCs w:val="26"/>
          <w:lang w:val="en-US"/>
        </w:rPr>
        <w:t xml:space="preserve">gosweb</w:t>
      </w:r>
      <w:r>
        <w:rPr>
          <w:sz w:val="26"/>
          <w:szCs w:val="26"/>
        </w:rPr>
        <w:t xml:space="preserve">.</w:t>
      </w:r>
      <w:r>
        <w:rPr>
          <w:sz w:val="26"/>
          <w:szCs w:val="26"/>
          <w:lang w:val="en-US"/>
        </w:rPr>
        <w:t xml:space="preserve">gosuslugi</w:t>
      </w:r>
      <w:r>
        <w:rPr>
          <w:sz w:val="26"/>
          <w:szCs w:val="26"/>
        </w:rPr>
        <w:t xml:space="preserve">.</w:t>
      </w:r>
      <w:r>
        <w:rPr>
          <w:sz w:val="26"/>
          <w:szCs w:val="26"/>
          <w:lang w:val="en-US"/>
        </w:rPr>
        <w:t xml:space="preserve">ru</w:t>
      </w:r>
      <w:r>
        <w:rPr>
          <w:sz w:val="26"/>
          <w:szCs w:val="26"/>
        </w:rPr>
        <w:t xml:space="preserve">).</w:t>
      </w:r>
      <w:r/>
    </w:p>
    <w:p>
      <w:pPr>
        <w:pStyle w:val="685"/>
        <w:ind w:firstLine="720"/>
        <w:jc w:val="both"/>
        <w:tabs>
          <w:tab w:val="left" w:pos="1134" w:leader="none"/>
        </w:tabs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3.</w:t>
        <w:tab/>
        <w:t xml:space="preserve">Контроль за исполнением постановления возложить на заместителя главы администрации городского округа – начальника управления по строительству, транспорту, ЖКХ и ТЭК Р.Г. Твердуна.</w:t>
      </w:r>
      <w:r/>
    </w:p>
    <w:p>
      <w:pPr>
        <w:pStyle w:val="685"/>
        <w:jc w:val="both"/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pStyle w:val="685"/>
        <w:jc w:val="both"/>
        <w:rPr>
          <w:sz w:val="26"/>
          <w:szCs w:val="26"/>
        </w:rPr>
      </w:pPr>
      <w:r>
        <w:rPr>
          <w:sz w:val="26"/>
          <w:szCs w:val="26"/>
        </w:rPr>
      </w:r>
      <w:r/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4926"/>
        <w:gridCol w:w="4680"/>
      </w:tblGrid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26" w:type="dxa"/>
            <w:vAlign w:val="top"/>
            <w:textDirection w:val="lrTb"/>
            <w:noWrap w:val="false"/>
          </w:tcPr>
          <w:p>
            <w:pPr>
              <w:pStyle w:val="685"/>
              <w:ind w:right="-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Глава администрации 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80" w:type="dxa"/>
            <w:vAlign w:val="top"/>
            <w:textDirection w:val="lrTb"/>
            <w:noWrap w:val="false"/>
          </w:tcPr>
          <w:p>
            <w:pPr>
              <w:pStyle w:val="685"/>
              <w:ind w:right="-1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Г.И. Бондарев</w:t>
            </w:r>
            <w:r/>
          </w:p>
        </w:tc>
      </w:tr>
    </w:tbl>
    <w:p>
      <w:pPr>
        <w:pStyle w:val="685"/>
        <w:ind w:firstLine="709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  <w:r/>
    </w:p>
    <w:tbl>
      <w:tblPr>
        <w:tblW w:w="9640" w:type="dxa"/>
        <w:tblInd w:w="-176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4395"/>
        <w:gridCol w:w="283"/>
        <w:gridCol w:w="4962"/>
      </w:tblGrid>
      <w:tr>
        <w:trPr>
          <w:trHeight w:val="1527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395" w:type="dxa"/>
            <w:vAlign w:val="top"/>
            <w:textDirection w:val="lrTb"/>
            <w:noWrap w:val="false"/>
          </w:tcPr>
          <w:p>
            <w:pPr>
              <w:pStyle w:val="685"/>
              <w:jc w:val="center"/>
              <w:widowControl w:val="off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83" w:type="dxa"/>
            <w:vAlign w:val="top"/>
            <w:textDirection w:val="lrTb"/>
            <w:noWrap w:val="false"/>
          </w:tcPr>
          <w:p>
            <w:pPr>
              <w:pStyle w:val="685"/>
              <w:jc w:val="center"/>
              <w:widowControl w:val="off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62" w:type="dxa"/>
            <w:vAlign w:val="top"/>
            <w:textDirection w:val="lrTb"/>
            <w:noWrap w:val="false"/>
          </w:tcPr>
          <w:p>
            <w:pPr>
              <w:pStyle w:val="685"/>
              <w:jc w:val="center"/>
              <w:shd w:val="clear" w:color="auto" w:fill="ffffff"/>
              <w:widowControl w:val="off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ПРИЛОЖЕНИЕ</w:t>
            </w:r>
            <w:r>
              <w:rPr>
                <w:b/>
                <w:color w:val="000000"/>
                <w:sz w:val="28"/>
                <w:szCs w:val="28"/>
              </w:rPr>
            </w:r>
            <w:r/>
          </w:p>
          <w:p>
            <w:pPr>
              <w:pStyle w:val="685"/>
              <w:ind w:hanging="108"/>
              <w:jc w:val="center"/>
              <w:shd w:val="clear" w:color="auto" w:fill="ffffff"/>
              <w:widowControl w:val="off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к </w:t>
            </w:r>
            <w:r>
              <w:rPr>
                <w:b/>
                <w:color w:val="000000"/>
                <w:sz w:val="28"/>
                <w:szCs w:val="28"/>
              </w:rPr>
              <w:t xml:space="preserve">постановлени</w:t>
            </w:r>
            <w:r>
              <w:rPr>
                <w:b/>
                <w:color w:val="000000"/>
                <w:sz w:val="28"/>
                <w:szCs w:val="28"/>
              </w:rPr>
              <w:t xml:space="preserve">ю</w:t>
            </w:r>
            <w:r>
              <w:rPr>
                <w:b/>
                <w:color w:val="000000"/>
                <w:sz w:val="28"/>
                <w:szCs w:val="28"/>
              </w:rPr>
              <w:t xml:space="preserve"> администрации Грайворонского городского округа</w:t>
            </w:r>
            <w:r>
              <w:rPr>
                <w:b/>
                <w:sz w:val="28"/>
                <w:szCs w:val="28"/>
              </w:rPr>
            </w:r>
            <w:r/>
          </w:p>
          <w:p>
            <w:pPr>
              <w:pStyle w:val="685"/>
              <w:ind w:right="-108"/>
              <w:jc w:val="center"/>
              <w:shd w:val="clear" w:color="auto" w:fill="ffffff"/>
              <w:widowControl w:val="off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от «_26_»_апреля_2023_ года №_268_</w:t>
            </w:r>
            <w:r>
              <w:rPr>
                <w:b/>
                <w:color w:val="000000"/>
                <w:sz w:val="28"/>
                <w:szCs w:val="28"/>
              </w:rPr>
            </w:r>
            <w:r/>
          </w:p>
        </w:tc>
      </w:tr>
    </w:tbl>
    <w:p>
      <w:pPr>
        <w:pStyle w:val="685"/>
        <w:jc w:val="center"/>
        <w:shd w:val="clear" w:color="auto" w:fill="ffffff"/>
        <w:widowControl w:val="off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685"/>
        <w:jc w:val="center"/>
        <w:shd w:val="clear" w:color="auto" w:fill="ffffff"/>
        <w:widowControl w:val="off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685"/>
        <w:jc w:val="center"/>
        <w:shd w:val="clear" w:color="auto" w:fill="ffffff"/>
        <w:widowControl w:val="off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685"/>
        <w:jc w:val="center"/>
        <w:shd w:val="clear" w:color="auto" w:fill="ffffff"/>
        <w:widowControl w:val="o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МУНИЦИПАЛЬНАЯ ПРОГРАММА </w:t>
      </w:r>
      <w:r>
        <w:rPr>
          <w:b/>
          <w:sz w:val="28"/>
          <w:szCs w:val="28"/>
        </w:rPr>
      </w:r>
      <w:r/>
    </w:p>
    <w:p>
      <w:pPr>
        <w:pStyle w:val="685"/>
        <w:jc w:val="center"/>
        <w:shd w:val="clear" w:color="auto" w:fill="ffffff"/>
        <w:widowControl w:val="o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Грайворонского городского округа </w:t>
      </w:r>
      <w:r>
        <w:rPr>
          <w:b/>
          <w:sz w:val="28"/>
          <w:szCs w:val="28"/>
        </w:rPr>
      </w:r>
      <w:r/>
    </w:p>
    <w:p>
      <w:pPr>
        <w:pStyle w:val="685"/>
        <w:jc w:val="center"/>
        <w:shd w:val="clear" w:color="auto" w:fill="ffffff"/>
        <w:widowControl w:val="off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«Совершенствование и развитие транспортной системы и дорожной сети Грайворонского городского округа»</w:t>
      </w:r>
      <w:r>
        <w:rPr>
          <w:b/>
          <w:color w:val="000000"/>
          <w:sz w:val="28"/>
          <w:szCs w:val="28"/>
        </w:rPr>
      </w:r>
      <w:r/>
    </w:p>
    <w:p>
      <w:pPr>
        <w:pStyle w:val="685"/>
        <w:ind w:left="9639" w:firstLine="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685"/>
        <w:ind w:left="9639" w:firstLine="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6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Паспорт</w:t>
      </w:r>
      <w:r/>
    </w:p>
    <w:p>
      <w:pPr>
        <w:pStyle w:val="6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муниципальной программы </w:t>
      </w:r>
      <w:r>
        <w:rPr>
          <w:b/>
          <w:sz w:val="28"/>
          <w:szCs w:val="28"/>
        </w:rPr>
        <w:t xml:space="preserve">Грайворонского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городского округа</w:t>
      </w:r>
      <w:r>
        <w:rPr>
          <w:b/>
          <w:sz w:val="28"/>
          <w:szCs w:val="28"/>
        </w:rPr>
      </w:r>
      <w:r/>
    </w:p>
    <w:p>
      <w:pPr>
        <w:pStyle w:val="6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</w:t>
      </w:r>
      <w:r>
        <w:rPr>
          <w:b/>
          <w:sz w:val="28"/>
          <w:szCs w:val="28"/>
        </w:rPr>
        <w:t xml:space="preserve">Совершенствование и развитие транспортной системы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и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дорожной с</w:t>
      </w:r>
      <w:r>
        <w:rPr>
          <w:b/>
          <w:sz w:val="28"/>
          <w:szCs w:val="28"/>
        </w:rPr>
        <w:t xml:space="preserve">ети Грайворонского городского округа»</w:t>
      </w:r>
      <w:r/>
    </w:p>
    <w:p>
      <w:pPr>
        <w:pStyle w:val="685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</w:r>
      <w:r/>
    </w:p>
    <w:tbl>
      <w:tblPr>
        <w:tblW w:w="962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67"/>
        <w:gridCol w:w="2891"/>
        <w:gridCol w:w="6066"/>
      </w:tblGrid>
      <w:tr>
        <w:trPr/>
        <w:tc>
          <w:tcPr>
            <w:tcW w:w="667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п/п</w:t>
            </w:r>
            <w:r/>
          </w:p>
        </w:tc>
        <w:tc>
          <w:tcPr>
            <w:gridSpan w:val="2"/>
            <w:tcW w:w="8957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Наимен</w:t>
            </w:r>
            <w:r>
              <w:rPr>
                <w:b/>
                <w:sz w:val="28"/>
                <w:szCs w:val="28"/>
              </w:rPr>
              <w:t xml:space="preserve">ование муниципальной программы:</w:t>
            </w:r>
            <w:r>
              <w:rPr>
                <w:b/>
                <w:sz w:val="28"/>
                <w:szCs w:val="28"/>
              </w:rPr>
            </w:r>
            <w:r/>
          </w:p>
          <w:p>
            <w:pPr>
              <w:pStyle w:val="68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«Совершенствование и развитие транспортной системы и дорожной сети Грайворонского городского округа» </w:t>
            </w:r>
            <w:r>
              <w:rPr>
                <w:b/>
                <w:sz w:val="28"/>
                <w:szCs w:val="28"/>
              </w:rPr>
            </w:r>
            <w:r/>
          </w:p>
          <w:p>
            <w:pPr>
              <w:pStyle w:val="68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(далее - муниципальная программа)</w:t>
            </w:r>
            <w:r/>
          </w:p>
        </w:tc>
      </w:tr>
      <w:tr>
        <w:trPr/>
        <w:tc>
          <w:tcPr>
            <w:tcW w:w="667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</w:t>
            </w:r>
            <w:r/>
          </w:p>
        </w:tc>
        <w:tc>
          <w:tcPr>
            <w:tcW w:w="289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Ответственный исполнитель муниципальной программы</w:t>
            </w:r>
            <w:r/>
          </w:p>
        </w:tc>
        <w:tc>
          <w:tcPr>
            <w:tcW w:w="606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Управление по строительству, транспорту, жилищно-коммунальному хозяйству и ТЭК администрации Грайворонского 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6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городского округа</w:t>
            </w:r>
            <w:r>
              <w:rPr>
                <w:sz w:val="28"/>
                <w:szCs w:val="28"/>
              </w:rPr>
            </w:r>
            <w:r/>
          </w:p>
        </w:tc>
      </w:tr>
      <w:tr>
        <w:trPr>
          <w:trHeight w:val="1689"/>
        </w:trPr>
        <w:tc>
          <w:tcPr>
            <w:tcW w:w="667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</w:t>
            </w:r>
            <w:r/>
          </w:p>
        </w:tc>
        <w:tc>
          <w:tcPr>
            <w:tcW w:w="289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Соисполнители </w:t>
            </w:r>
            <w:r>
              <w:rPr>
                <w:sz w:val="28"/>
                <w:szCs w:val="28"/>
              </w:rPr>
              <w:t xml:space="preserve">муниципальной программы</w:t>
            </w:r>
            <w:r/>
          </w:p>
        </w:tc>
        <w:tc>
          <w:tcPr>
            <w:tcW w:w="606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</w:t>
            </w:r>
            <w:r>
              <w:rPr>
                <w:sz w:val="28"/>
                <w:szCs w:val="28"/>
              </w:rPr>
              <w:t xml:space="preserve">авление по строительству, транспорту, жилищно-коммунальному хозяйству и ТЭК администрации Грайворонского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6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городского округа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6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  <w:p>
            <w:pPr>
              <w:pStyle w:val="6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Грайворонского</w:t>
            </w:r>
            <w:r/>
          </w:p>
          <w:p>
            <w:pPr>
              <w:pStyle w:val="6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городского округа</w:t>
            </w: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667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</w:t>
            </w:r>
            <w:r/>
          </w:p>
        </w:tc>
        <w:tc>
          <w:tcPr>
            <w:tcW w:w="289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Участники</w:t>
            </w:r>
            <w:r>
              <w:rPr>
                <w:sz w:val="28"/>
                <w:szCs w:val="28"/>
              </w:rPr>
              <w:t xml:space="preserve"> муниципальной программы</w:t>
            </w:r>
            <w:r/>
          </w:p>
        </w:tc>
        <w:tc>
          <w:tcPr>
            <w:tcW w:w="606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Управление по строительству, транспорту, жилищно-коммунальному хозяйству и ТЭК администрации Грайворонского </w:t>
            </w:r>
            <w:r/>
          </w:p>
          <w:p>
            <w:pPr>
              <w:pStyle w:val="6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городского округа</w:t>
            </w:r>
            <w:r/>
          </w:p>
          <w:p>
            <w:pPr>
              <w:pStyle w:val="6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  <w:p>
            <w:pPr>
              <w:pStyle w:val="6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Грайворонского</w:t>
            </w:r>
            <w:r/>
          </w:p>
          <w:p>
            <w:pPr>
              <w:pStyle w:val="6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городского округа</w:t>
            </w: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667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</w:t>
            </w:r>
            <w:r/>
          </w:p>
        </w:tc>
        <w:tc>
          <w:tcPr>
            <w:tcW w:w="289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Подпрограммы муниципальной</w:t>
            </w:r>
            <w:r/>
          </w:p>
          <w:p>
            <w:pPr>
              <w:pStyle w:val="6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программы</w:t>
            </w:r>
            <w:r/>
          </w:p>
        </w:tc>
        <w:tc>
          <w:tcPr>
            <w:tcW w:w="606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</w:t>
            </w:r>
            <w:r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 xml:space="preserve">Совершенств</w:t>
            </w:r>
            <w:r>
              <w:rPr>
                <w:sz w:val="28"/>
                <w:szCs w:val="28"/>
              </w:rPr>
              <w:t xml:space="preserve">ование и развитие </w:t>
            </w:r>
            <w:r/>
          </w:p>
          <w:p>
            <w:pPr>
              <w:pStyle w:val="6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дорожной сети»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6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  <w:p>
            <w:pPr>
              <w:pStyle w:val="6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«</w:t>
            </w:r>
            <w:r>
              <w:rPr>
                <w:sz w:val="28"/>
                <w:szCs w:val="28"/>
              </w:rPr>
              <w:t xml:space="preserve">Совершенствование </w:t>
            </w:r>
            <w:r>
              <w:rPr>
                <w:sz w:val="28"/>
                <w:szCs w:val="28"/>
              </w:rPr>
              <w:t xml:space="preserve">и развитие транспортной системы»</w:t>
            </w:r>
            <w:r>
              <w:rPr>
                <w:sz w:val="28"/>
                <w:szCs w:val="28"/>
              </w:rPr>
              <w:t xml:space="preserve">.</w:t>
            </w:r>
            <w:r/>
          </w:p>
        </w:tc>
      </w:tr>
      <w:tr>
        <w:trPr/>
        <w:tc>
          <w:tcPr>
            <w:tcW w:w="667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</w:t>
            </w:r>
            <w:r/>
          </w:p>
        </w:tc>
        <w:tc>
          <w:tcPr>
            <w:tcW w:w="289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Цель муниципальной программы</w:t>
            </w:r>
            <w:r/>
          </w:p>
        </w:tc>
        <w:tc>
          <w:tcPr>
            <w:tcW w:w="606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</w:t>
            </w:r>
            <w:r>
              <w:rPr>
                <w:sz w:val="28"/>
                <w:szCs w:val="28"/>
              </w:rPr>
              <w:t xml:space="preserve">оздание условий для устойчивого функционирования </w:t>
            </w:r>
            <w:r>
              <w:rPr>
                <w:sz w:val="28"/>
                <w:szCs w:val="28"/>
              </w:rPr>
              <w:t xml:space="preserve">транспортной системы </w:t>
            </w:r>
            <w:r/>
          </w:p>
          <w:p>
            <w:pPr>
              <w:pStyle w:val="6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 дорожной </w:t>
            </w:r>
            <w:r>
              <w:rPr>
                <w:sz w:val="28"/>
                <w:szCs w:val="28"/>
              </w:rPr>
              <w:t xml:space="preserve">сети </w:t>
            </w:r>
            <w:r>
              <w:rPr>
                <w:sz w:val="28"/>
                <w:szCs w:val="28"/>
              </w:rPr>
              <w:t xml:space="preserve">Грайворонского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городского округа</w:t>
            </w:r>
            <w:r>
              <w:rPr>
                <w:sz w:val="28"/>
                <w:szCs w:val="28"/>
              </w:rPr>
              <w:t xml:space="preserve"> в соответствии с социально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-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экономическими потребностями населения</w:t>
            </w:r>
            <w:r/>
          </w:p>
        </w:tc>
      </w:tr>
      <w:tr>
        <w:trPr/>
        <w:tc>
          <w:tcPr>
            <w:tcW w:w="667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</w:t>
            </w:r>
            <w:r/>
          </w:p>
        </w:tc>
        <w:tc>
          <w:tcPr>
            <w:tcW w:w="289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Задачи муниципальной программы</w:t>
            </w:r>
            <w:r/>
          </w:p>
        </w:tc>
        <w:tc>
          <w:tcPr>
            <w:tcW w:w="606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Сохранность и </w:t>
            </w:r>
            <w:r>
              <w:rPr>
                <w:sz w:val="28"/>
                <w:szCs w:val="28"/>
              </w:rPr>
              <w:t xml:space="preserve">развитие автодорог местного</w:t>
            </w:r>
            <w:r>
              <w:rPr>
                <w:sz w:val="28"/>
                <w:szCs w:val="28"/>
              </w:rPr>
              <w:t xml:space="preserve"> значения, относящихся к улично-д</w:t>
            </w:r>
            <w:r>
              <w:rPr>
                <w:sz w:val="28"/>
                <w:szCs w:val="28"/>
              </w:rPr>
              <w:t xml:space="preserve">орожной сети населенных пунктов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городского округа,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6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соответствии с темпами экономического развития </w:t>
            </w:r>
            <w:r>
              <w:rPr>
                <w:sz w:val="28"/>
                <w:szCs w:val="28"/>
              </w:rPr>
              <w:t xml:space="preserve">городского округа</w:t>
            </w:r>
            <w:r>
              <w:rPr>
                <w:sz w:val="28"/>
                <w:szCs w:val="28"/>
              </w:rPr>
              <w:t xml:space="preserve">, ростом уровня автомобилизации и объемов автомобильных перевозок.</w:t>
            </w:r>
            <w:r/>
          </w:p>
          <w:p>
            <w:pPr>
              <w:pStyle w:val="6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Создание условий для устойчивого функционирования системы пассажирских перевозок в </w:t>
            </w:r>
            <w:r>
              <w:rPr>
                <w:sz w:val="28"/>
                <w:szCs w:val="28"/>
              </w:rPr>
              <w:t xml:space="preserve">Грайворонском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городском округе</w:t>
            </w:r>
            <w:r>
              <w:rPr>
                <w:sz w:val="28"/>
                <w:szCs w:val="28"/>
              </w:rPr>
              <w:t xml:space="preserve">.</w:t>
            </w:r>
            <w:r/>
          </w:p>
        </w:tc>
      </w:tr>
      <w:tr>
        <w:trPr/>
        <w:tc>
          <w:tcPr>
            <w:tcW w:w="667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</w:t>
            </w:r>
            <w:r/>
          </w:p>
        </w:tc>
        <w:tc>
          <w:tcPr>
            <w:tcW w:w="289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Сроки и этапы реализации муниципальной программы</w:t>
            </w:r>
            <w:r/>
          </w:p>
        </w:tc>
        <w:tc>
          <w:tcPr>
            <w:tcW w:w="6066" w:type="dxa"/>
            <w:vAlign w:val="top"/>
            <w:textDirection w:val="lrTb"/>
            <w:noWrap w:val="false"/>
          </w:tcPr>
          <w:p>
            <w:pPr>
              <w:pStyle w:val="6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</w:t>
            </w:r>
            <w:r>
              <w:rPr>
                <w:sz w:val="28"/>
                <w:szCs w:val="28"/>
              </w:rPr>
              <w:t xml:space="preserve">униципальная программа реализуется 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6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>
              <w:rPr>
                <w:sz w:val="28"/>
                <w:szCs w:val="28"/>
              </w:rPr>
              <w:t xml:space="preserve">два</w:t>
            </w:r>
            <w:r>
              <w:rPr>
                <w:sz w:val="28"/>
                <w:szCs w:val="28"/>
              </w:rPr>
              <w:t xml:space="preserve"> этап</w:t>
            </w:r>
            <w:r>
              <w:rPr>
                <w:sz w:val="28"/>
                <w:szCs w:val="28"/>
              </w:rPr>
              <w:t xml:space="preserve">а: </w:t>
            </w:r>
            <w:r/>
          </w:p>
          <w:p>
            <w:pPr>
              <w:pStyle w:val="6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1-й этап - 2015-2020 гг.;</w:t>
            </w:r>
            <w:r/>
          </w:p>
          <w:p>
            <w:pPr>
              <w:pStyle w:val="6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2-й этап - 2021-2025 гг.</w:t>
            </w: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667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</w:t>
            </w:r>
            <w:r/>
          </w:p>
        </w:tc>
        <w:tc>
          <w:tcPr>
            <w:tcW w:w="289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Объемы бюджетных ассигнований</w:t>
            </w:r>
            <w:r/>
          </w:p>
          <w:p>
            <w:pPr>
              <w:pStyle w:val="6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муниципальной программы за счет средств бюджета городского округа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(с расшифровкой плановых объемов бюджетных ассигнований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по годам ее реализации), а также прогнозный объем средств, привлекаемых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из других источников</w:t>
            </w:r>
            <w:r/>
          </w:p>
        </w:tc>
        <w:tc>
          <w:tcPr>
            <w:tcW w:w="6066" w:type="dxa"/>
            <w:vAlign w:val="center"/>
            <w:textDirection w:val="lrTb"/>
            <w:noWrap w:val="false"/>
          </w:tcPr>
          <w:p>
            <w:pPr>
              <w:pStyle w:val="685"/>
              <w:ind w:firstLine="5"/>
              <w:jc w:val="center"/>
              <w:spacing w:line="322" w:lineRule="exact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Планируемый общий объем финансирования</w:t>
            </w:r>
            <w:r>
              <w:rPr>
                <w:spacing w:val="-2"/>
                <w:sz w:val="28"/>
                <w:szCs w:val="28"/>
              </w:rPr>
              <w:t xml:space="preserve"> муниципальной</w:t>
            </w:r>
            <w:r>
              <w:rPr>
                <w:spacing w:val="-1"/>
                <w:sz w:val="28"/>
                <w:szCs w:val="28"/>
              </w:rPr>
              <w:t xml:space="preserve"> программы в 2015-2025 годах </w:t>
              <w:br/>
              <w:t xml:space="preserve">за счет всех источников финансирования</w:t>
            </w:r>
            <w:r>
              <w:rPr>
                <w:spacing w:val="-2"/>
                <w:sz w:val="28"/>
                <w:szCs w:val="28"/>
              </w:rPr>
              <w:t xml:space="preserve"> составит – 770 798,937 тыс.</w:t>
            </w:r>
            <w:r>
              <w:rPr>
                <w:sz w:val="28"/>
                <w:szCs w:val="28"/>
              </w:rPr>
              <w:t xml:space="preserve"> рублей;</w:t>
            </w:r>
            <w:r/>
          </w:p>
          <w:p>
            <w:pPr>
              <w:pStyle w:val="685"/>
              <w:jc w:val="center"/>
              <w:spacing w:line="322" w:lineRule="exact"/>
              <w:shd w:val="clear" w:color="auto" w:fill="ffffff"/>
              <w:tabs>
                <w:tab w:val="left" w:pos="931" w:leader="none"/>
              </w:tabs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 xml:space="preserve">2015</w:t>
            </w:r>
            <w:r>
              <w:rPr>
                <w:sz w:val="28"/>
                <w:szCs w:val="28"/>
              </w:rPr>
              <w:t xml:space="preserve"> год – 22 365,6 тыс. рублей;</w:t>
            </w:r>
            <w:r/>
          </w:p>
          <w:p>
            <w:pPr>
              <w:pStyle w:val="685"/>
              <w:jc w:val="center"/>
              <w:spacing w:line="322" w:lineRule="exact"/>
              <w:shd w:val="clear" w:color="auto" w:fill="ffffff"/>
              <w:tabs>
                <w:tab w:val="left" w:pos="931" w:leader="none"/>
              </w:tabs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 xml:space="preserve">2016</w:t>
            </w:r>
            <w:r>
              <w:rPr>
                <w:sz w:val="28"/>
                <w:szCs w:val="28"/>
              </w:rPr>
              <w:t xml:space="preserve"> год – 24 726,7 тыс. рублей;</w:t>
            </w:r>
            <w:r/>
          </w:p>
          <w:p>
            <w:pPr>
              <w:pStyle w:val="685"/>
              <w:ind w:hanging="5"/>
              <w:jc w:val="center"/>
              <w:spacing w:line="322" w:lineRule="exact"/>
              <w:shd w:val="clear" w:color="auto" w:fill="ffffff"/>
              <w:tabs>
                <w:tab w:val="left" w:pos="931" w:leader="none"/>
              </w:tabs>
              <w:rPr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 xml:space="preserve">2017</w:t>
            </w:r>
            <w:r>
              <w:rPr>
                <w:sz w:val="28"/>
                <w:szCs w:val="28"/>
              </w:rPr>
              <w:t xml:space="preserve"> год – 28 659,0 тыс. рублей;</w:t>
            </w:r>
            <w:r/>
          </w:p>
          <w:p>
            <w:pPr>
              <w:pStyle w:val="685"/>
              <w:ind w:hanging="5"/>
              <w:jc w:val="center"/>
              <w:spacing w:line="322" w:lineRule="exact"/>
              <w:shd w:val="clear" w:color="auto" w:fill="ffffff"/>
              <w:tabs>
                <w:tab w:val="left" w:pos="931" w:leader="none"/>
              </w:tabs>
              <w:rPr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 xml:space="preserve">2018</w:t>
            </w:r>
            <w:r>
              <w:rPr>
                <w:sz w:val="28"/>
                <w:szCs w:val="28"/>
              </w:rPr>
              <w:t xml:space="preserve"> год – 42 213,1 тыс. рублей;</w:t>
            </w:r>
            <w:r/>
          </w:p>
          <w:p>
            <w:pPr>
              <w:pStyle w:val="685"/>
              <w:ind w:firstLine="5"/>
              <w:jc w:val="center"/>
              <w:spacing w:line="322" w:lineRule="exact"/>
              <w:shd w:val="clear" w:color="auto" w:fill="ffffff"/>
              <w:tabs>
                <w:tab w:val="left" w:pos="931" w:leader="none"/>
              </w:tabs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 xml:space="preserve">2019</w:t>
            </w:r>
            <w:r>
              <w:rPr>
                <w:sz w:val="28"/>
                <w:szCs w:val="28"/>
              </w:rPr>
              <w:t xml:space="preserve"> год – 85 197,4 тыс. рублей;</w:t>
            </w:r>
            <w:r/>
          </w:p>
          <w:p>
            <w:pPr>
              <w:pStyle w:val="685"/>
              <w:jc w:val="center"/>
              <w:spacing w:line="322" w:lineRule="exact"/>
              <w:shd w:val="clear" w:color="auto" w:fill="ffffff"/>
              <w:tabs>
                <w:tab w:val="left" w:pos="931" w:leader="none"/>
              </w:tabs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 xml:space="preserve">2020</w:t>
            </w:r>
            <w:r>
              <w:rPr>
                <w:sz w:val="28"/>
                <w:szCs w:val="28"/>
              </w:rPr>
              <w:t xml:space="preserve"> год – 123 218,9 тыс. рублей;</w:t>
            </w:r>
            <w:r/>
          </w:p>
          <w:p>
            <w:pPr>
              <w:pStyle w:val="685"/>
              <w:jc w:val="center"/>
              <w:spacing w:line="322" w:lineRule="exact"/>
              <w:shd w:val="clear" w:color="auto" w:fill="ffffff"/>
              <w:tabs>
                <w:tab w:val="left" w:pos="931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2021 год – 149 741,4 тыс. рублей;</w:t>
            </w:r>
            <w:r/>
          </w:p>
          <w:p>
            <w:pPr>
              <w:pStyle w:val="685"/>
              <w:jc w:val="center"/>
              <w:spacing w:line="322" w:lineRule="exact"/>
              <w:shd w:val="clear" w:color="auto" w:fill="ffffff"/>
              <w:tabs>
                <w:tab w:val="left" w:pos="931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2022 год – 100</w:t>
            </w:r>
            <w:r>
              <w:rPr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  <w:t xml:space="preserve">456,237 тыс. рублей;</w:t>
            </w:r>
            <w:r/>
          </w:p>
          <w:p>
            <w:pPr>
              <w:pStyle w:val="685"/>
              <w:jc w:val="center"/>
              <w:spacing w:line="322" w:lineRule="exact"/>
              <w:shd w:val="clear" w:color="auto" w:fill="ffffff"/>
              <w:tabs>
                <w:tab w:val="left" w:pos="931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2023 год – 106 559,3 тыс. рублей;</w:t>
            </w:r>
            <w:r/>
          </w:p>
          <w:p>
            <w:pPr>
              <w:pStyle w:val="685"/>
              <w:jc w:val="center"/>
              <w:spacing w:line="322" w:lineRule="exact"/>
              <w:shd w:val="clear" w:color="auto" w:fill="ffffff"/>
              <w:tabs>
                <w:tab w:val="left" w:pos="931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2024 год – 47 312,3 тыс. рублей;</w:t>
            </w:r>
            <w:r/>
          </w:p>
          <w:p>
            <w:pPr>
              <w:pStyle w:val="685"/>
              <w:jc w:val="center"/>
              <w:spacing w:line="322" w:lineRule="exact"/>
              <w:shd w:val="clear" w:color="auto" w:fill="ffffff"/>
              <w:tabs>
                <w:tab w:val="left" w:pos="931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2025 год – 40 349,0 тыс. рублей.</w:t>
            </w:r>
            <w:r/>
          </w:p>
          <w:p>
            <w:pPr>
              <w:pStyle w:val="6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Планируемый объем финансирования </w:t>
            </w:r>
            <w:r>
              <w:rPr>
                <w:spacing w:val="-2"/>
                <w:sz w:val="28"/>
                <w:szCs w:val="28"/>
              </w:rPr>
              <w:t xml:space="preserve">муниципальной </w:t>
            </w:r>
            <w:r>
              <w:rPr>
                <w:sz w:val="28"/>
                <w:szCs w:val="28"/>
              </w:rPr>
              <w:t xml:space="preserve">программы в 2015-2025 годах </w:t>
              <w:br/>
              <w:t xml:space="preserve">за счет средств </w:t>
            </w:r>
            <w:r>
              <w:rPr>
                <w:spacing w:val="-1"/>
                <w:sz w:val="28"/>
                <w:szCs w:val="28"/>
              </w:rPr>
              <w:t xml:space="preserve">бюджета </w:t>
            </w:r>
            <w:r>
              <w:rPr>
                <w:sz w:val="28"/>
                <w:szCs w:val="28"/>
              </w:rPr>
              <w:t xml:space="preserve">городского округа – </w:t>
            </w:r>
            <w:r>
              <w:rPr>
                <w:spacing w:val="-2"/>
                <w:sz w:val="28"/>
                <w:szCs w:val="28"/>
              </w:rPr>
              <w:t xml:space="preserve">472 485,337 т</w:t>
            </w:r>
            <w:r>
              <w:rPr>
                <w:sz w:val="28"/>
                <w:szCs w:val="28"/>
              </w:rPr>
              <w:t xml:space="preserve">ыс. руб.;</w:t>
            </w:r>
            <w:r/>
          </w:p>
          <w:p>
            <w:pPr>
              <w:pStyle w:val="685"/>
              <w:jc w:val="center"/>
              <w:spacing w:line="322" w:lineRule="exact"/>
              <w:shd w:val="clear" w:color="auto" w:fill="ffffff"/>
              <w:tabs>
                <w:tab w:val="left" w:pos="931" w:leader="none"/>
              </w:tabs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 xml:space="preserve">2015</w:t>
            </w:r>
            <w:r>
              <w:rPr>
                <w:sz w:val="28"/>
                <w:szCs w:val="28"/>
              </w:rPr>
              <w:t xml:space="preserve"> год – 22 365,6 тыс. рублей;</w:t>
            </w:r>
            <w:r/>
          </w:p>
          <w:p>
            <w:pPr>
              <w:pStyle w:val="685"/>
              <w:jc w:val="center"/>
              <w:spacing w:line="322" w:lineRule="exact"/>
              <w:shd w:val="clear" w:color="auto" w:fill="ffffff"/>
              <w:tabs>
                <w:tab w:val="left" w:pos="931" w:leader="none"/>
              </w:tabs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 xml:space="preserve">2016</w:t>
            </w:r>
            <w:r>
              <w:rPr>
                <w:sz w:val="28"/>
                <w:szCs w:val="28"/>
              </w:rPr>
              <w:t xml:space="preserve"> год – 24 726,7 тыс. рублей;</w:t>
            </w:r>
            <w:r/>
          </w:p>
          <w:p>
            <w:pPr>
              <w:pStyle w:val="685"/>
              <w:ind w:hanging="5"/>
              <w:jc w:val="center"/>
              <w:spacing w:line="322" w:lineRule="exact"/>
              <w:shd w:val="clear" w:color="auto" w:fill="ffffff"/>
              <w:tabs>
                <w:tab w:val="left" w:pos="931" w:leader="none"/>
              </w:tabs>
              <w:rPr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 xml:space="preserve">2017</w:t>
            </w:r>
            <w:r>
              <w:rPr>
                <w:sz w:val="28"/>
                <w:szCs w:val="28"/>
              </w:rPr>
              <w:t xml:space="preserve"> год – 28 659,0 тыс. рублей;</w:t>
            </w:r>
            <w:r/>
          </w:p>
          <w:p>
            <w:pPr>
              <w:pStyle w:val="685"/>
              <w:ind w:hanging="5"/>
              <w:jc w:val="center"/>
              <w:spacing w:line="322" w:lineRule="exact"/>
              <w:shd w:val="clear" w:color="auto" w:fill="ffffff"/>
              <w:tabs>
                <w:tab w:val="left" w:pos="931" w:leader="none"/>
              </w:tabs>
              <w:rPr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 xml:space="preserve">2018</w:t>
            </w:r>
            <w:r>
              <w:rPr>
                <w:sz w:val="28"/>
                <w:szCs w:val="28"/>
              </w:rPr>
              <w:t xml:space="preserve"> год – 30 813,1 тыс. рублей;</w:t>
            </w:r>
            <w:r/>
          </w:p>
          <w:p>
            <w:pPr>
              <w:pStyle w:val="685"/>
              <w:ind w:firstLine="5"/>
              <w:jc w:val="center"/>
              <w:spacing w:line="322" w:lineRule="exact"/>
              <w:shd w:val="clear" w:color="auto" w:fill="ffffff"/>
              <w:tabs>
                <w:tab w:val="left" w:pos="931" w:leader="none"/>
              </w:tabs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 xml:space="preserve">2019</w:t>
            </w:r>
            <w:r>
              <w:rPr>
                <w:sz w:val="28"/>
                <w:szCs w:val="28"/>
              </w:rPr>
              <w:t xml:space="preserve"> год – 41 592,4 тыс. рублей;</w:t>
            </w:r>
            <w:r/>
          </w:p>
          <w:p>
            <w:pPr>
              <w:pStyle w:val="685"/>
              <w:jc w:val="center"/>
              <w:spacing w:line="322" w:lineRule="exact"/>
              <w:shd w:val="clear" w:color="auto" w:fill="ffffff"/>
              <w:tabs>
                <w:tab w:val="left" w:pos="931" w:leader="none"/>
              </w:tabs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 xml:space="preserve">2020</w:t>
            </w:r>
            <w:r>
              <w:rPr>
                <w:sz w:val="28"/>
                <w:szCs w:val="28"/>
              </w:rPr>
              <w:t xml:space="preserve"> год – 30 652,9 тыс. рублей;</w:t>
            </w:r>
            <w:r/>
          </w:p>
          <w:p>
            <w:pPr>
              <w:pStyle w:val="685"/>
              <w:jc w:val="center"/>
              <w:spacing w:line="322" w:lineRule="exact"/>
              <w:shd w:val="clear" w:color="auto" w:fill="ffffff"/>
              <w:tabs>
                <w:tab w:val="left" w:pos="931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2021 год – 48 735,4 тыс. рублей;</w:t>
            </w:r>
            <w:r/>
          </w:p>
          <w:p>
            <w:pPr>
              <w:pStyle w:val="685"/>
              <w:jc w:val="center"/>
              <w:spacing w:line="322" w:lineRule="exact"/>
              <w:shd w:val="clear" w:color="auto" w:fill="ffffff"/>
              <w:tabs>
                <w:tab w:val="left" w:pos="931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2022 год – 50 743,837 тыс. рублей;</w:t>
            </w:r>
            <w:r/>
          </w:p>
          <w:p>
            <w:pPr>
              <w:pStyle w:val="685"/>
              <w:jc w:val="center"/>
              <w:spacing w:line="322" w:lineRule="exact"/>
              <w:shd w:val="clear" w:color="auto" w:fill="ffffff"/>
              <w:tabs>
                <w:tab w:val="left" w:pos="931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2023 год – 106 551,2 тыс. рублей;</w:t>
            </w:r>
            <w:r/>
          </w:p>
          <w:p>
            <w:pPr>
              <w:pStyle w:val="685"/>
              <w:jc w:val="center"/>
              <w:spacing w:line="322" w:lineRule="exact"/>
              <w:shd w:val="clear" w:color="auto" w:fill="ffffff"/>
              <w:tabs>
                <w:tab w:val="left" w:pos="931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2024 год – 47 304,2 тыс. рублей;</w:t>
            </w:r>
            <w:r/>
          </w:p>
          <w:p>
            <w:pPr>
              <w:pStyle w:val="685"/>
              <w:jc w:val="center"/>
              <w:spacing w:line="322" w:lineRule="exact"/>
              <w:shd w:val="clear" w:color="auto" w:fill="ffffff"/>
              <w:tabs>
                <w:tab w:val="left" w:pos="931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2025 год – 40 341,0 тыс. рублей.</w:t>
            </w:r>
            <w:r/>
          </w:p>
        </w:tc>
      </w:tr>
      <w:tr>
        <w:trPr/>
        <w:tc>
          <w:tcPr>
            <w:tcW w:w="667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</w:t>
            </w:r>
            <w:r/>
          </w:p>
        </w:tc>
        <w:tc>
          <w:tcPr>
            <w:tcW w:w="289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Конечные результаты муниципальной программы</w:t>
            </w:r>
            <w:r/>
          </w:p>
        </w:tc>
        <w:tc>
          <w:tcPr>
            <w:tcW w:w="606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2025 году планируется:</w:t>
            </w:r>
            <w:r/>
          </w:p>
          <w:p>
            <w:pPr>
              <w:pStyle w:val="6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Увеличение доли автомобильных дорог  местного значения, относящихся к улично - дорожной сети населенных пунктов городского округа, отвечающих нормативным требованиям в общей протяженности автомобильных дорог, относящихся к улично-дорожной сети</w:t>
            </w:r>
            <w:r>
              <w:rPr>
                <w:sz w:val="28"/>
                <w:szCs w:val="28"/>
              </w:rPr>
              <w:t xml:space="preserve">,</w:t>
            </w:r>
            <w:r>
              <w:rPr>
                <w:sz w:val="28"/>
                <w:szCs w:val="28"/>
              </w:rPr>
              <w:t xml:space="preserve"> </w:t>
              <w:br/>
              <w:t xml:space="preserve">до 95 процентов.</w:t>
            </w:r>
            <w:r/>
          </w:p>
          <w:p>
            <w:pPr>
              <w:pStyle w:val="6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Увеличение общей протяженности построенных автомобильных дорог местного значения, относящихся к улично-дорожной сети населенных пунктов городского округа</w:t>
            </w:r>
            <w:r>
              <w:rPr>
                <w:sz w:val="28"/>
                <w:szCs w:val="28"/>
              </w:rPr>
              <w:t xml:space="preserve">,</w:t>
            </w:r>
            <w:r>
              <w:rPr>
                <w:sz w:val="28"/>
                <w:szCs w:val="28"/>
              </w:rPr>
              <w:t xml:space="preserve"> </w:t>
              <w:br/>
              <w:t xml:space="preserve">и в микрорайонах массовой жилищной застройки с твердым покрытием на 9 км.</w:t>
            </w:r>
            <w:r/>
          </w:p>
          <w:p>
            <w:pPr>
              <w:pStyle w:val="6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  <w:p>
            <w:pPr>
              <w:pStyle w:val="6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Увеличение общей протяженности отремонтированных дорог местного значения, относящихся к улично-дорожной сети населенных пунктов городского округа</w:t>
            </w:r>
            <w:r>
              <w:rPr>
                <w:sz w:val="28"/>
                <w:szCs w:val="28"/>
              </w:rPr>
              <w:t xml:space="preserve">,</w:t>
            </w:r>
            <w:r>
              <w:rPr>
                <w:sz w:val="28"/>
                <w:szCs w:val="28"/>
              </w:rPr>
              <w:t xml:space="preserve"> </w:t>
              <w:br/>
              <w:t xml:space="preserve">на 22 км.</w:t>
            </w:r>
            <w:r/>
          </w:p>
        </w:tc>
      </w:tr>
    </w:tbl>
    <w:p>
      <w:pPr>
        <w:pStyle w:val="685"/>
        <w:rPr>
          <w:b/>
          <w:color w:val="FF0000"/>
        </w:rPr>
      </w:pPr>
      <w:r>
        <w:rPr>
          <w:b/>
          <w:color w:val="FF0000"/>
        </w:rPr>
      </w:r>
      <w:r/>
    </w:p>
    <w:p>
      <w:pPr>
        <w:pStyle w:val="6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Общая характеристика сферы реализации</w:t>
      </w:r>
      <w:r/>
    </w:p>
    <w:p>
      <w:pPr>
        <w:pStyle w:val="6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муниципальной программы, в том числе формулировки</w:t>
      </w:r>
      <w:r/>
    </w:p>
    <w:p>
      <w:pPr>
        <w:pStyle w:val="6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основных проблем в указанной сфере и прогноз её развития</w:t>
      </w:r>
      <w:r/>
    </w:p>
    <w:p>
      <w:pPr>
        <w:pStyle w:val="68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Транспорт является важнейшей с</w:t>
      </w:r>
      <w:r>
        <w:rPr>
          <w:sz w:val="28"/>
          <w:szCs w:val="28"/>
        </w:rPr>
        <w:t xml:space="preserve">оставной частью производственной </w:t>
        <w:br/>
        <w:t xml:space="preserve">и социальной инфраструктуры Грайворонского городского округа. Наряду </w:t>
        <w:br/>
        <w:t xml:space="preserve">с другими отраслями, он обеспечивает базовые условия жизнедеятельности общества, являясь важным инструментом достижения социальных, экономических целей.</w:t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Транспорт - не только отрасль, перемещающая грузы и людей, </w:t>
        <w:br/>
        <w:t xml:space="preserve">это, в первую очередь, межотраслевая логистическая система, в</w:t>
      </w:r>
      <w:r>
        <w:rPr>
          <w:sz w:val="28"/>
          <w:szCs w:val="28"/>
        </w:rPr>
        <w:t xml:space="preserve">лияющая </w:t>
        <w:br/>
        <w:t xml:space="preserve">на условия жизнедеятельности и хозяйствования. Возможность беспрепятственно, качественно и надежно осуществлять перевозки становится определяющей при принятии решения об инвестировании перспективных проектов и создании различного рода производств.</w:t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терр</w:t>
      </w:r>
      <w:r>
        <w:rPr>
          <w:sz w:val="28"/>
          <w:szCs w:val="28"/>
        </w:rPr>
        <w:t xml:space="preserve">итории Грайворонского городского округа сложилась достаточно плотная автомобильная транспортная сеть. Через Грайворонский городской округ проходят автомобильные дороги регионального значения «Белгород - Грайворон - Козинка» и «Грайворон - Илёк-Пеньковка».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По ним осуществляются как местные, так и межрегиональные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международные транспортные перевозки.</w:t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Автобусным пассажирским транспортом в 2015 году перевезено </w:t>
        <w:br/>
        <w:t xml:space="preserve">139,5 тыс. человек, пассажирооборот составил 1 716,5 тыс. пассажиро-километров.</w:t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Автомобильный пассажирский транспорт является основным связующим видом транспорта для Грайворонского городского округа.</w:t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Практически все населенные пункты городского округа имеют автобусное сообщение с окружным центром, автобусные маршруты связывают городской округ с областным центром. </w:t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то же время состояние транспортного комплекса городского округа нельзя считать оптимальным, а уровень развития транспорта достаточным.</w:t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Поэтому важнейшим элементом транспорт</w:t>
      </w:r>
      <w:r>
        <w:rPr>
          <w:sz w:val="28"/>
          <w:szCs w:val="28"/>
        </w:rPr>
        <w:t xml:space="preserve">ной системы городского округа, обеспечивающим условия единства экономического пространства, свободного перемещения товаров и услуг, конкуренции и свободы экономической деятельности, улучшения условий и уровня жизни населения, являются автомобильные дороги.</w:t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Неудовлетворительное транспортно - эксплуатационное состояние большинства автомобильных дорог городского округа приводит к росту транспортных издержек и снижению скорости доставки грузов и пассажиров.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Рост транспортных издержек ведет, в свою очередь, к снижению конкурентоспособности произведенной продукции, что является сдерживающим фактором для развития экономики городского округа.</w:t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настоящее время в Грайворонском городском округе все населённые пункты связаны с центром городского округа автомобильными дорогами </w:t>
        <w:br/>
        <w:t xml:space="preserve">с твёрдым покрытием.</w:t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Остается низким уровень безопасности на автомобильном транспорте. Изношенность и недостаточная прочность дорожного покрытия способствуют повышению уровня аварийности. </w:t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Ужесточение требований безопасности дорожного движения, особенно </w:t>
        <w:br/>
        <w:t xml:space="preserve">в зи</w:t>
      </w:r>
      <w:r>
        <w:rPr>
          <w:sz w:val="28"/>
          <w:szCs w:val="28"/>
        </w:rPr>
        <w:t xml:space="preserve">мнее время, влечет загрязнение придорожных территорий химическими веществами, используемыми для борьбы с зимней скользкостью. Таким образом, важнейшей проблемой в развитии транспортной системы Грайворонского городского округа является отставание в развитии</w:t>
      </w:r>
      <w:r>
        <w:rPr>
          <w:sz w:val="28"/>
          <w:szCs w:val="28"/>
        </w:rPr>
        <w:t xml:space="preserve"> дорожной сети от потребностей экономики и населения, что выражается в высокой степени износа и несоответствии современным техническим требованиям существующей сети автомобильных дорог общего пользования местного значения и искусственных сооружений на них.</w:t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Настоящая муниципальная программа призвана создать необходимые условия для решения основных проблем транспортной системы и дорожной сети Грайворонского городского округа и достижения современной </w:t>
        <w:br/>
        <w:t xml:space="preserve">и эффективной работы транспортной инфраструктуры.</w:t>
      </w:r>
      <w:r/>
    </w:p>
    <w:p>
      <w:pPr>
        <w:pStyle w:val="685"/>
        <w:rPr>
          <w:sz w:val="36"/>
          <w:szCs w:val="36"/>
        </w:rPr>
      </w:pPr>
      <w:r>
        <w:rPr>
          <w:sz w:val="36"/>
          <w:szCs w:val="36"/>
        </w:rPr>
      </w:r>
      <w:r/>
    </w:p>
    <w:p>
      <w:pPr>
        <w:pStyle w:val="685"/>
        <w:rPr>
          <w:sz w:val="36"/>
          <w:szCs w:val="36"/>
        </w:rPr>
      </w:pPr>
      <w:r>
        <w:rPr>
          <w:sz w:val="36"/>
          <w:szCs w:val="36"/>
        </w:rPr>
      </w:r>
      <w:r/>
    </w:p>
    <w:p>
      <w:pPr>
        <w:pStyle w:val="6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Приоритеты муниципальной политики в сфере реализации</w:t>
      </w:r>
      <w:r/>
    </w:p>
    <w:p>
      <w:pPr>
        <w:pStyle w:val="6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муниципальной программы, цели, задачи и показатели</w:t>
      </w:r>
      <w:r/>
    </w:p>
    <w:p>
      <w:pPr>
        <w:pStyle w:val="6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достижения целей и решения задач, описание основных</w:t>
      </w:r>
      <w:r/>
    </w:p>
    <w:p>
      <w:pPr>
        <w:pStyle w:val="6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конечных результатов муниципальной программы, сроков</w:t>
      </w:r>
      <w:r/>
    </w:p>
    <w:p>
      <w:pPr>
        <w:pStyle w:val="6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этапов реализации муниципальной программы</w:t>
      </w:r>
      <w:r/>
    </w:p>
    <w:p>
      <w:pPr>
        <w:pStyle w:val="685"/>
        <w:rPr>
          <w:sz w:val="32"/>
          <w:szCs w:val="32"/>
        </w:rPr>
      </w:pPr>
      <w:r>
        <w:rPr>
          <w:sz w:val="32"/>
          <w:szCs w:val="32"/>
        </w:rPr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Приоритеты муниципальной политики в сфере реализации муниципальной программы определены в Стратегии социально - экономического развития Грайворонског</w:t>
      </w:r>
      <w:r>
        <w:rPr>
          <w:sz w:val="28"/>
          <w:szCs w:val="28"/>
        </w:rPr>
        <w:t xml:space="preserve">о городского округа на период </w:t>
        <w:br/>
        <w:t xml:space="preserve">до 2025 года. В соответствии с данным документом одной из стратегических задач является повышение конкурентоспособности продукции, товаров и услуг товаропроизводителей городского округа, модернизации существующих производств.</w:t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образом, исходя из обознач</w:t>
      </w:r>
      <w:r>
        <w:rPr>
          <w:sz w:val="28"/>
          <w:szCs w:val="28"/>
        </w:rPr>
        <w:t xml:space="preserve">енной стратегической задачи, целью муниципальной программы является создание условий для устойчивого функционирования транспортной системы и дорожной сети Грайворонского городского округа в соответствии с социально - экономическими потребностями населения.</w:t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достижения указанной цели необходимо решить следующие задачи:</w:t>
      </w:r>
      <w:r/>
    </w:p>
    <w:p>
      <w:pPr>
        <w:pStyle w:val="685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1)</w:t>
        <w:tab/>
        <w:t xml:space="preserve">сохранность</w:t>
      </w:r>
      <w:r>
        <w:rPr>
          <w:sz w:val="28"/>
          <w:szCs w:val="28"/>
        </w:rPr>
        <w:t xml:space="preserve"> и развитие автомобильных дорог местного значения, относящихся к улично-дорожной сети населенных пунктов городского округа </w:t>
        <w:br/>
        <w:t xml:space="preserve">в соответствии с темпами экономического развития городского округа, ростом уровня автомобилизации и объемов автомобильных перевозок;</w:t>
      </w:r>
      <w:r/>
    </w:p>
    <w:p>
      <w:pPr>
        <w:pStyle w:val="685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2)</w:t>
        <w:tab/>
        <w:t xml:space="preserve">создание условий для устойчивого функционирования системы пассажирских перевозок в</w:t>
      </w:r>
      <w:r>
        <w:rPr>
          <w:sz w:val="28"/>
          <w:szCs w:val="28"/>
        </w:rPr>
        <w:t xml:space="preserve"> Грайворонском городском округе.</w:t>
      </w:r>
      <w:r>
        <w:rPr>
          <w:sz w:val="28"/>
          <w:szCs w:val="28"/>
        </w:rPr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муниципальной программы предусмотрена </w:t>
        <w:br/>
        <w:t xml:space="preserve">на 2015-2025 годы.</w:t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результате реализации мероприятий муниципальной программы </w:t>
        <w:br/>
        <w:t xml:space="preserve">к 2025 году:</w:t>
      </w:r>
      <w:r/>
    </w:p>
    <w:p>
      <w:pPr>
        <w:pStyle w:val="685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1)</w:t>
        <w:tab/>
        <w:t xml:space="preserve">дол</w:t>
      </w:r>
      <w:r>
        <w:rPr>
          <w:sz w:val="28"/>
          <w:szCs w:val="28"/>
        </w:rPr>
        <w:t xml:space="preserve">я автомобильных дорог местного значения, относящихся </w:t>
        <w:br/>
        <w:t xml:space="preserve">к улично-дорожной сети населенных пунктов городского округа, отвечающих нормативным требованиям в общей протяженности автомобильных дорог, относящихся к улично-дорожной сети, увеличится до 95 процентов;</w:t>
      </w:r>
      <w:r/>
    </w:p>
    <w:p>
      <w:pPr>
        <w:pStyle w:val="685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2)</w:t>
        <w:tab/>
        <w:t xml:space="preserve">общая протяженность построенных автомобильных дорог местного значения, относящихся к улично-дорожной сети населенных пунктов городского округа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и в микрорайонах массовой жилищной застройки с твердым покрытием, увеличится на 9 км;</w:t>
      </w:r>
      <w:r/>
    </w:p>
    <w:p>
      <w:pPr>
        <w:pStyle w:val="685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)</w:t>
        <w:tab/>
        <w:t xml:space="preserve">общая протяженность отремонтированных дорог местного значения, относящихся к улично-дорожной сети населенных пунктов городского округа, составит 42 км.</w:t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мероприятий подпрограмм, а также сроки и этапы </w:t>
        <w:br/>
        <w:t xml:space="preserve">их реализации подлежат ежегодной корректировке в соответствии </w:t>
        <w:br/>
        <w:t xml:space="preserve">с достигнутыми результатами в предшествующий период реализации муниципальной программы.</w:t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Сведения о методике расчёта показателей конечного результата муниципальной программы представлены в приложении № 5.</w:t>
      </w:r>
      <w:r/>
    </w:p>
    <w:p>
      <w:pPr>
        <w:pStyle w:val="685"/>
        <w:rPr>
          <w:sz w:val="32"/>
          <w:szCs w:val="32"/>
        </w:rPr>
      </w:pPr>
      <w:r>
        <w:rPr>
          <w:sz w:val="32"/>
          <w:szCs w:val="32"/>
        </w:rPr>
      </w:r>
      <w:r/>
    </w:p>
    <w:p>
      <w:pPr>
        <w:pStyle w:val="6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Перечень нормативных правовых актов,</w:t>
      </w:r>
      <w:r/>
    </w:p>
    <w:p>
      <w:pPr>
        <w:pStyle w:val="6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принятие или изменение которых необходимо</w:t>
      </w:r>
      <w:r/>
    </w:p>
    <w:p>
      <w:pPr>
        <w:pStyle w:val="6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для реализации муниципальной программы</w:t>
      </w:r>
      <w:r/>
    </w:p>
    <w:p>
      <w:pPr>
        <w:pStyle w:val="685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правовых актов, принятие или изменение которых необходимо для реализации муниципальной программы, представлен в приложении №1 </w:t>
        <w:br/>
        <w:t xml:space="preserve">к муниципальной программе.</w:t>
      </w:r>
      <w:r/>
    </w:p>
    <w:p>
      <w:pPr>
        <w:pStyle w:val="685"/>
        <w:rPr>
          <w:sz w:val="32"/>
          <w:szCs w:val="32"/>
        </w:rPr>
      </w:pPr>
      <w:r>
        <w:rPr>
          <w:sz w:val="32"/>
          <w:szCs w:val="32"/>
        </w:rPr>
      </w:r>
      <w:r/>
    </w:p>
    <w:p>
      <w:pPr>
        <w:pStyle w:val="6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Обоснование выделения подпрограмм</w:t>
      </w:r>
      <w:r/>
    </w:p>
    <w:p>
      <w:pPr>
        <w:pStyle w:val="685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Система подпрограмм муниципальной программы сформирована таким образом, чтобы достигнуть цели и обеспечить ре</w:t>
      </w:r>
      <w:r>
        <w:rPr>
          <w:sz w:val="28"/>
          <w:szCs w:val="28"/>
        </w:rPr>
        <w:t xml:space="preserve">шение задач муниципальной программы, и включает в себя две подпрограммы, содержащие основные мероприятия, направленные на решение поставленных задач в сфере совершенствования и развития транспортной системы и дорожной сети Грайворонского городского округа.</w:t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состав муниципальной программы включены следующие подпрограммы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/>
    </w:p>
    <w:p>
      <w:pPr>
        <w:pStyle w:val="685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Подпрограмма 1 «Совершенствование и развитие дорожной сети».</w:t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Подпрограмма представляет собой комплекс мероприятий </w:t>
        <w:br/>
        <w:t xml:space="preserve">по строительству, реконструкции, ремонту и содержанию автомобильных дорог местного значения, относящихся к улично-дорожной сети населенных пунктов городского округа, искусственных сооружений на них.</w:t>
      </w:r>
      <w:r/>
    </w:p>
    <w:p>
      <w:pPr>
        <w:pStyle w:val="685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Подпрограмма 2 «Совершенствование и развитие транспортной системы».</w:t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Подпрограмма представляет собой комплекс меро</w:t>
      </w:r>
      <w:r>
        <w:rPr>
          <w:sz w:val="28"/>
          <w:szCs w:val="28"/>
        </w:rPr>
        <w:t xml:space="preserve">приятий, направленных на создание условий для организации транспортного обслуживания населения автомобильным транспортом посредством обеспечения организации транспортного обслуживания населения автобусными пассажирскими перевозками в пригородном сообщении.</w:t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Система основных мероприятий и показателей подпрограмм представлена в приложении №2 к муниципальной  программе.</w:t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Сроки реализации подпрограмм совпадают со сроками реализации муниципальной программы в целом.</w:t>
      </w:r>
      <w:r/>
    </w:p>
    <w:p>
      <w:pPr>
        <w:pStyle w:val="685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Ресурсное обеспечение муниципальной программы </w:t>
      </w:r>
      <w:r/>
    </w:p>
    <w:p>
      <w:pPr>
        <w:pStyle w:val="6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Расходы на реализацию муниципальной программы формируются за счет средств областного бюджета и бюджета городского округа.</w:t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Планируемый общий объем финансирования муниципальной программы в 2015 - 2025 годах за счет всех источников финансирования составит </w:t>
        <w:br/>
      </w:r>
      <w:r>
        <w:rPr>
          <w:spacing w:val="-2"/>
          <w:sz w:val="28"/>
          <w:szCs w:val="28"/>
        </w:rPr>
        <w:t xml:space="preserve">770 798,937 </w:t>
      </w:r>
      <w:r>
        <w:rPr>
          <w:sz w:val="28"/>
          <w:szCs w:val="28"/>
        </w:rPr>
        <w:t xml:space="preserve">тыс. рублей.</w:t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Объем финансовых средств, направляемых из бюджета городского округа на реализацию муниципальной программы, составляет </w:t>
      </w:r>
      <w:r>
        <w:rPr>
          <w:spacing w:val="-2"/>
          <w:sz w:val="28"/>
          <w:szCs w:val="28"/>
        </w:rPr>
        <w:t xml:space="preserve">472 485,337 </w:t>
      </w:r>
      <w:r>
        <w:rPr>
          <w:sz w:val="28"/>
          <w:szCs w:val="28"/>
        </w:rPr>
        <w:t xml:space="preserve">тыс. рублей, в том числе по годам:</w:t>
      </w:r>
      <w:r/>
    </w:p>
    <w:p>
      <w:pPr>
        <w:pStyle w:val="685"/>
        <w:ind w:firstLine="2835"/>
        <w:spacing w:line="322" w:lineRule="exact"/>
        <w:shd w:val="clear" w:color="auto" w:fill="ffffff"/>
        <w:tabs>
          <w:tab w:val="left" w:pos="931" w:leader="none"/>
        </w:tabs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2015</w:t>
      </w:r>
      <w:r>
        <w:rPr>
          <w:sz w:val="28"/>
          <w:szCs w:val="28"/>
        </w:rPr>
        <w:t xml:space="preserve"> год – 22 365,6 тыс. рублей;</w:t>
      </w:r>
      <w:r/>
    </w:p>
    <w:p>
      <w:pPr>
        <w:pStyle w:val="685"/>
        <w:ind w:firstLine="2835"/>
        <w:spacing w:line="322" w:lineRule="exact"/>
        <w:shd w:val="clear" w:color="auto" w:fill="ffffff"/>
        <w:tabs>
          <w:tab w:val="left" w:pos="931" w:leader="none"/>
        </w:tabs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2016</w:t>
      </w:r>
      <w:r>
        <w:rPr>
          <w:sz w:val="28"/>
          <w:szCs w:val="28"/>
        </w:rPr>
        <w:t xml:space="preserve"> год – 24 726,7 тыс. рублей;</w:t>
      </w:r>
      <w:r/>
    </w:p>
    <w:p>
      <w:pPr>
        <w:pStyle w:val="685"/>
        <w:ind w:firstLine="2835"/>
        <w:spacing w:line="322" w:lineRule="exact"/>
        <w:shd w:val="clear" w:color="auto" w:fill="ffffff"/>
        <w:tabs>
          <w:tab w:val="left" w:pos="931" w:leader="none"/>
        </w:tabs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2017</w:t>
      </w:r>
      <w:r>
        <w:rPr>
          <w:sz w:val="28"/>
          <w:szCs w:val="28"/>
        </w:rPr>
        <w:t xml:space="preserve"> год – 28 659 тыс. рублей;</w:t>
      </w:r>
      <w:r/>
    </w:p>
    <w:p>
      <w:pPr>
        <w:pStyle w:val="685"/>
        <w:ind w:firstLine="2835"/>
        <w:spacing w:line="322" w:lineRule="exact"/>
        <w:shd w:val="clear" w:color="auto" w:fill="ffffff"/>
        <w:tabs>
          <w:tab w:val="left" w:pos="931" w:leader="none"/>
        </w:tabs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2018</w:t>
      </w:r>
      <w:r>
        <w:rPr>
          <w:sz w:val="28"/>
          <w:szCs w:val="28"/>
        </w:rPr>
        <w:t xml:space="preserve"> год – 30 813,1 тыс. рублей;</w:t>
      </w:r>
      <w:r/>
    </w:p>
    <w:p>
      <w:pPr>
        <w:pStyle w:val="685"/>
        <w:ind w:firstLine="2835"/>
        <w:spacing w:line="322" w:lineRule="exact"/>
        <w:shd w:val="clear" w:color="auto" w:fill="ffffff"/>
        <w:tabs>
          <w:tab w:val="left" w:pos="931" w:leader="none"/>
        </w:tabs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2019</w:t>
      </w:r>
      <w:r>
        <w:rPr>
          <w:sz w:val="28"/>
          <w:szCs w:val="28"/>
        </w:rPr>
        <w:t xml:space="preserve"> год – 41 592,4 тыс. рублей;</w:t>
      </w:r>
      <w:r/>
    </w:p>
    <w:p>
      <w:pPr>
        <w:pStyle w:val="685"/>
        <w:ind w:firstLine="2835"/>
        <w:spacing w:line="322" w:lineRule="exact"/>
        <w:shd w:val="clear" w:color="auto" w:fill="ffffff"/>
        <w:tabs>
          <w:tab w:val="left" w:pos="931" w:leader="none"/>
        </w:tabs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2020</w:t>
      </w:r>
      <w:r>
        <w:rPr>
          <w:sz w:val="28"/>
          <w:szCs w:val="28"/>
        </w:rPr>
        <w:t xml:space="preserve"> год – 30 652,9 тыс. рублей;</w:t>
      </w:r>
      <w:r/>
    </w:p>
    <w:p>
      <w:pPr>
        <w:pStyle w:val="685"/>
        <w:ind w:firstLine="2835"/>
        <w:spacing w:line="322" w:lineRule="exact"/>
        <w:shd w:val="clear" w:color="auto" w:fill="ffffff"/>
        <w:tabs>
          <w:tab w:val="left" w:pos="93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2021 год – 48 735,4 тыс. рублей;</w:t>
      </w:r>
      <w:r/>
    </w:p>
    <w:p>
      <w:pPr>
        <w:pStyle w:val="685"/>
        <w:ind w:firstLine="2835"/>
        <w:spacing w:line="322" w:lineRule="exact"/>
        <w:shd w:val="clear" w:color="auto" w:fill="ffffff"/>
        <w:tabs>
          <w:tab w:val="left" w:pos="93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2022 год – 50 743,8</w:t>
      </w:r>
      <w:r>
        <w:rPr>
          <w:sz w:val="28"/>
          <w:szCs w:val="28"/>
        </w:rPr>
        <w:t xml:space="preserve">37 тыс. рублей;</w:t>
      </w:r>
      <w:r/>
    </w:p>
    <w:p>
      <w:pPr>
        <w:pStyle w:val="685"/>
        <w:ind w:firstLine="2835"/>
        <w:spacing w:line="322" w:lineRule="exact"/>
        <w:shd w:val="clear" w:color="auto" w:fill="ffffff"/>
        <w:tabs>
          <w:tab w:val="left" w:pos="93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2023 год – 106 551,2 тыс. рублей;</w:t>
      </w:r>
      <w:r/>
    </w:p>
    <w:p>
      <w:pPr>
        <w:pStyle w:val="685"/>
        <w:ind w:firstLine="2835"/>
        <w:spacing w:line="322" w:lineRule="exact"/>
        <w:shd w:val="clear" w:color="auto" w:fill="ffffff"/>
        <w:tabs>
          <w:tab w:val="left" w:pos="93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2024 год – 47 304,2 тыс. рублей;</w:t>
      </w:r>
      <w:r/>
    </w:p>
    <w:p>
      <w:pPr>
        <w:pStyle w:val="685"/>
        <w:ind w:firstLine="2835"/>
        <w:jc w:val="both"/>
        <w:spacing w:line="322" w:lineRule="exact"/>
        <w:shd w:val="clear" w:color="auto" w:fill="ffffff"/>
        <w:tabs>
          <w:tab w:val="left" w:pos="93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2025 год – 40 341,0 тыс. рублей.</w:t>
      </w:r>
      <w:r/>
    </w:p>
    <w:p>
      <w:pPr>
        <w:pStyle w:val="685"/>
        <w:ind w:firstLine="709"/>
        <w:jc w:val="both"/>
        <w:spacing w:line="322" w:lineRule="exact"/>
        <w:shd w:val="clear" w:color="auto" w:fill="ffffff"/>
        <w:tabs>
          <w:tab w:val="left" w:pos="93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Ресурсное обеспечение и прогнозная (справочная) оценка расходов </w:t>
        <w:br/>
        <w:t xml:space="preserve">на реализацию мероприятий муниципальной программы, подпрограмм муниципальной программы из различных источников финансирования  представлены в приложении №3 к муниципальной программе.</w:t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Объем финансового обеспечения муниципальной программы подлежит ежегодному уточнению в рамках подготовки проекта бюджета Грайворонского городского округа на очередной финансовый год и плановый период.</w:t>
      </w:r>
      <w:r/>
    </w:p>
    <w:p>
      <w:pPr>
        <w:pStyle w:val="685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Анализ рисков реализации муниципальной программы </w:t>
      </w:r>
      <w:r/>
    </w:p>
    <w:p>
      <w:pPr>
        <w:pStyle w:val="6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описание мер управления рисками реализации </w:t>
      </w:r>
      <w:r/>
    </w:p>
    <w:p>
      <w:pPr>
        <w:pStyle w:val="6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муниципальной программы</w:t>
      </w:r>
      <w:r/>
    </w:p>
    <w:p>
      <w:pPr>
        <w:pStyle w:val="685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реализации муниципальной программы осуществляются меры, направленные на снижение последствий рисков и повышение уровня гарантированности достижения предусмотренных в ней конечных результатов.</w:t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основе анализа мероприятий, предлагаемых для реализации в рамках муниципальной программы, выделен</w:t>
      </w:r>
      <w:r>
        <w:rPr>
          <w:sz w:val="28"/>
          <w:szCs w:val="28"/>
        </w:rPr>
        <w:t xml:space="preserve">ы следующие риски ее реализации.</w:t>
      </w:r>
      <w:r>
        <w:rPr>
          <w:sz w:val="28"/>
          <w:szCs w:val="28"/>
        </w:rPr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Макроэкономические риски связаны с существующей вероятностью кризисных явлений в мировой и российской экономиках, снижения темпов роста экономики и инвестиционной активности, высокой инфляцией, ведущей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к непредвиденному росту затрат</w:t>
      </w:r>
      <w:r>
        <w:rPr>
          <w:sz w:val="28"/>
          <w:szCs w:val="28"/>
        </w:rPr>
        <w:t xml:space="preserve"> на строительные материалы, горюче-смазочные материалы, электроэнергию и в конечном результате к снижению объемов финансирования программных мероприятий из средств бюджетов всех уровней, увеличению стоимости дорожных работ и снижению объемов строительства.</w:t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Снижение данных рисков предусматривается за счет привлечения внебюджетных источников финансирования для реализации мероприятий муниципальной программы.</w:t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Финансовые риски связаны с возникновением бюджетного дефицита </w:t>
        <w:br/>
        <w:t xml:space="preserve">и недостаточным вследствие этого уровнем бюджетного финансирования, секвестированием бюджетных расходов на курируемые сферы.</w:t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Возникновение данных рисков может привести к сокращению объемов финансирования</w:t>
      </w:r>
      <w:r>
        <w:t xml:space="preserve"> </w:t>
      </w:r>
      <w:r>
        <w:rPr>
          <w:sz w:val="28"/>
          <w:szCs w:val="28"/>
        </w:rPr>
        <w:t xml:space="preserve">запланированных мероприятий, прекращению финансирования ряда мероприятий и, как следствие, выполнению не в полном объеме или невыполнению как непосредственных, так и конечных результатов муниципальной программы.</w:t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Способами ограничения финансовых рисков выступают следующие меры:</w:t>
      </w:r>
      <w:r/>
    </w:p>
    <w:p>
      <w:pPr>
        <w:pStyle w:val="685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  <w:t xml:space="preserve">ежегодное уточнение объемов финансовых средств, предусмотренных на реализацию мероприятий муниципальной программы, в зависимости </w:t>
        <w:br/>
        <w:t xml:space="preserve">от достигнутых результатов;</w:t>
      </w:r>
      <w:r/>
    </w:p>
    <w:p>
      <w:pPr>
        <w:pStyle w:val="685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  <w:t xml:space="preserve">определение приоритетов для первоочередного финансирования расходов.</w:t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Минимизация данных рисков предусматривается путем привлечения внебюджетных источников финансирования для реализации мероприятий муниципальной программы, применения механизмов государственно - частного партнерства.</w:t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Правовые риски связаны с изменением федерального законодательств</w:t>
      </w:r>
      <w:r>
        <w:rPr>
          <w:sz w:val="28"/>
          <w:szCs w:val="28"/>
        </w:rPr>
        <w:t xml:space="preserve">а, длительностью формирования нормативной правовой базы, необходимой </w:t>
        <w:br/>
        <w:t xml:space="preserve">для эффективной реализации муниципальной программы. Это может привести к существенному увеличению планируемых сроков или изменению условий реализации мероприятий муниципальной программы.</w:t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минимизации воздействия данной группы рисков в рамках реализации муниципальной программы план</w:t>
      </w:r>
      <w:r>
        <w:rPr>
          <w:sz w:val="28"/>
          <w:szCs w:val="28"/>
        </w:rPr>
        <w:t xml:space="preserve">ируется на этапе разработки проектов документов привлекать к их обсуждению основные заинтересованные стороны, которые впоследствии должны принять участие в их согласовании, </w:t>
        <w:br/>
        <w:t xml:space="preserve">а также проводить мониторинг планируемых изменений в федеральном законодательстве.</w:t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Информационные риски определяются отсутствием или частичной недостаточностью исходной отчетной и оперативной информации, используемой в процессе разработки и реализации муниципальной программы.</w:t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целью управления информационными рисками в ходе реализации муниципальной программы будет проводиться работа, направленная на:</w:t>
      </w:r>
      <w:r/>
    </w:p>
    <w:p>
      <w:pPr>
        <w:pStyle w:val="685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  <w:t xml:space="preserve">использование статистических показателей, обеспечивающих объективность оценки хода и результатов реализации муниципальной программы;</w:t>
      </w:r>
      <w:r/>
    </w:p>
    <w:p>
      <w:pPr>
        <w:pStyle w:val="685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  <w:t xml:space="preserve">своевременный мониторинг и оценку ис</w:t>
      </w:r>
      <w:r>
        <w:rPr>
          <w:sz w:val="28"/>
          <w:szCs w:val="28"/>
        </w:rPr>
        <w:t xml:space="preserve">полнения целевых показателей (индикаторов) муниципальной программы, выявление факторов риска, оценку их значимости (анализ вероятности того, что произойдут события, способные отрицательно повлиять на конечные результаты реализации муниципальной программы).</w:t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Административные риски связаны с неэффективным управлением реализацией подпрограмм, низкой эффективностью взаимодействия заинтересованных сторон, что может повлечь за собой потерю управляемости, </w:t>
      </w:r>
      <w:r>
        <w:rPr>
          <w:sz w:val="28"/>
          <w:szCs w:val="28"/>
        </w:rPr>
        <w:t xml:space="preserve">нарушение планируемых сроков реализации мероприятий муниципальной программы, невыполнение ее цели и задач, не достижение плановых значений показателей, снижение эффективности использования ресурсов и качества выполнения мероприятий муниципальной программы.</w:t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Основными условиями минимизации административных рисков являются:</w:t>
      </w:r>
      <w:r/>
    </w:p>
    <w:p>
      <w:pPr>
        <w:pStyle w:val="685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  <w:t xml:space="preserve">формирование эффективной системы управления реализацией муниципальной программы и ее подпрограмм;</w:t>
      </w:r>
      <w:r/>
    </w:p>
    <w:p>
      <w:pPr>
        <w:pStyle w:val="685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  <w:t xml:space="preserve">повышение эффективности взаимодействия участников реализации муниципальной программы;</w:t>
      </w:r>
      <w:r/>
    </w:p>
    <w:p>
      <w:pPr>
        <w:pStyle w:val="685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  <w:t xml:space="preserve">своевременная корректировка мероприятий муниципальной программы.</w:t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Снижение влияния данной группы рисков предполагается посредством обеспечения подбора высококвалифицированных кадров и переподготовки (повышения квалификации) имеющихся специалистов, формирования резерва кадров.</w:t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Управление рисками будет осуществляться в соответствии </w:t>
        <w:br/>
        <w:t xml:space="preserve">с федеральным и региональным законодательством.</w:t>
      </w:r>
      <w:r/>
    </w:p>
    <w:p>
      <w:pPr>
        <w:pStyle w:val="685"/>
        <w:jc w:val="center"/>
        <w:rPr>
          <w:b/>
        </w:rPr>
      </w:pPr>
      <w:r>
        <w:rPr>
          <w:b/>
        </w:rPr>
      </w:r>
      <w:r/>
    </w:p>
    <w:p>
      <w:pPr>
        <w:pStyle w:val="685"/>
        <w:jc w:val="center"/>
        <w:rPr>
          <w:b/>
        </w:rPr>
      </w:pPr>
      <w:r>
        <w:rPr>
          <w:b/>
        </w:rPr>
      </w:r>
      <w:r/>
    </w:p>
    <w:p>
      <w:pPr>
        <w:pStyle w:val="685"/>
        <w:jc w:val="center"/>
        <w:rPr>
          <w:b/>
          <w:sz w:val="28"/>
          <w:szCs w:val="28"/>
        </w:rPr>
      </w:pPr>
      <w:r>
        <w:rPr>
          <w:b/>
        </w:rPr>
        <w:br w:type="page"/>
      </w:r>
      <w:r>
        <w:rPr>
          <w:b/>
          <w:sz w:val="28"/>
          <w:szCs w:val="28"/>
        </w:rPr>
        <w:t xml:space="preserve">Подпрограмма 1 </w:t>
      </w:r>
      <w:r/>
    </w:p>
    <w:p>
      <w:pPr>
        <w:pStyle w:val="6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«Совершенствование и развитие дорожной сети»</w:t>
      </w:r>
      <w:r/>
    </w:p>
    <w:p>
      <w:pPr>
        <w:pStyle w:val="6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6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Паспорт</w:t>
      </w:r>
      <w:r>
        <w:rPr>
          <w:b/>
          <w:sz w:val="28"/>
          <w:szCs w:val="28"/>
        </w:rPr>
        <w:t xml:space="preserve"> п</w:t>
      </w:r>
      <w:r>
        <w:rPr>
          <w:b/>
          <w:sz w:val="28"/>
          <w:szCs w:val="28"/>
        </w:rPr>
        <w:t xml:space="preserve">одпрограмм</w:t>
      </w:r>
      <w:r>
        <w:rPr>
          <w:b/>
          <w:sz w:val="28"/>
          <w:szCs w:val="28"/>
        </w:rPr>
        <w:t xml:space="preserve">ы</w:t>
      </w:r>
      <w:r>
        <w:rPr>
          <w:b/>
          <w:sz w:val="28"/>
          <w:szCs w:val="28"/>
        </w:rPr>
        <w:t xml:space="preserve"> 1</w:t>
      </w:r>
      <w:r>
        <w:rPr>
          <w:b/>
          <w:sz w:val="28"/>
          <w:szCs w:val="28"/>
        </w:rPr>
      </w:r>
      <w:r/>
    </w:p>
    <w:tbl>
      <w:tblPr>
        <w:tblW w:w="9624" w:type="dxa"/>
        <w:tblCellSpacing w:w="5" w:type="dxa"/>
        <w:tblInd w:w="75" w:type="dxa"/>
        <w:tblLayout w:type="fixed"/>
        <w:tblCellMar>
          <w:left w:w="75" w:type="dxa"/>
          <w:top w:w="0" w:type="dxa"/>
          <w:right w:w="75" w:type="dxa"/>
          <w:bottom w:w="0" w:type="dxa"/>
        </w:tblCellMar>
        <w:tblLook w:val="04A0" w:firstRow="1" w:lastRow="0" w:firstColumn="1" w:lastColumn="0" w:noHBand="0" w:noVBand="1"/>
      </w:tblPr>
      <w:tblGrid>
        <w:gridCol w:w="667"/>
        <w:gridCol w:w="2891"/>
        <w:gridCol w:w="6066"/>
      </w:tblGrid>
      <w:tr>
        <w:trPr>
          <w:tblCellSpacing w:w="5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7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widowControl w:val="o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</w:t>
            </w:r>
            <w:r/>
          </w:p>
          <w:p>
            <w:pPr>
              <w:pStyle w:val="685"/>
              <w:jc w:val="center"/>
              <w:widowControl w:val="o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п/п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57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widowControl w:val="o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Наименование подпрограммы 1</w:t>
            </w:r>
            <w:r/>
          </w:p>
          <w:p>
            <w:pPr>
              <w:pStyle w:val="685"/>
              <w:jc w:val="center"/>
              <w:widowControl w:val="o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«Совершенствование и развитие дорожной сети» </w:t>
            </w:r>
            <w:r/>
          </w:p>
          <w:p>
            <w:pPr>
              <w:pStyle w:val="685"/>
              <w:jc w:val="center"/>
              <w:widowControl w:val="o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(далее - подпрограмма 1)</w:t>
            </w:r>
            <w:r/>
          </w:p>
        </w:tc>
      </w:tr>
      <w:tr>
        <w:trPr>
          <w:tblCellSpacing w:w="5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7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9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Соисполнитель подпрограммы 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6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Управление по строительству, транспорту, жилищно-коммунальному хозяйству </w:t>
              <w:br/>
              <w:t xml:space="preserve">и ТЭК администрации Грайворонского городского округа</w:t>
            </w:r>
            <w:r/>
          </w:p>
          <w:p>
            <w:pPr>
              <w:pStyle w:val="685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  <w:r/>
          </w:p>
          <w:p>
            <w:pPr>
              <w:pStyle w:val="6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Грайворонского </w:t>
            </w:r>
            <w:r/>
          </w:p>
          <w:p>
            <w:pPr>
              <w:pStyle w:val="6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городского округа</w:t>
            </w:r>
            <w:r/>
          </w:p>
        </w:tc>
      </w:tr>
      <w:tr>
        <w:trPr>
          <w:tblCellSpacing w:w="5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7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9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Участники подпрограммы 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6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Управление по строительству, транспорту, жилищно-коммунальному хозяйству </w:t>
              <w:br/>
              <w:t xml:space="preserve">и ТЭК администрации Грайворонского городского округа</w:t>
            </w:r>
            <w:r/>
          </w:p>
          <w:p>
            <w:pPr>
              <w:pStyle w:val="685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  <w:r/>
          </w:p>
          <w:p>
            <w:pPr>
              <w:pStyle w:val="6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Грайворонского </w:t>
            </w:r>
            <w:r/>
          </w:p>
          <w:p>
            <w:pPr>
              <w:pStyle w:val="6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Городско</w:t>
            </w:r>
            <w:r>
              <w:rPr>
                <w:sz w:val="28"/>
                <w:szCs w:val="28"/>
              </w:rPr>
              <w:t xml:space="preserve">го округа</w:t>
            </w:r>
            <w:r>
              <w:rPr>
                <w:sz w:val="28"/>
                <w:szCs w:val="28"/>
              </w:rPr>
            </w:r>
            <w:r/>
          </w:p>
        </w:tc>
      </w:tr>
      <w:tr>
        <w:trPr>
          <w:tblCellSpacing w:w="5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7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9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Цель подпрограммы 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6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</w:t>
            </w:r>
            <w:r>
              <w:rPr>
                <w:sz w:val="28"/>
                <w:szCs w:val="28"/>
              </w:rPr>
              <w:t xml:space="preserve">охранность и развитие автодорог местного значения, относящихся к улично-дорожной сети населенных пунктов городского округа, </w:t>
              <w:br/>
              <w:t xml:space="preserve">в соответствии с темпами экономического развития городского округа, ростом уровня автомобилизации и объемов автомобильных перевозок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  <w:r/>
          </w:p>
        </w:tc>
      </w:tr>
      <w:tr>
        <w:trPr>
          <w:tblCellSpacing w:w="5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7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9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Задачи</w:t>
            </w:r>
            <w:r/>
          </w:p>
          <w:p>
            <w:pPr>
              <w:pStyle w:val="685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подпрограммы 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6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Обеспечение сохранности существующей сети автодорог местного значения, относящихся </w:t>
              <w:br/>
              <w:t xml:space="preserve">к улично-дорожной сети населенных пунктов городского округа.</w:t>
            </w:r>
            <w:r/>
          </w:p>
          <w:p>
            <w:pPr>
              <w:pStyle w:val="685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Улучшение транспортно - эксплуатационных характеристик и потребительских свойств автодорог с целью снижения транспортных издержек.</w:t>
            </w:r>
            <w:r/>
          </w:p>
          <w:p>
            <w:pPr>
              <w:pStyle w:val="685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Увеличение пропускной способности автомобильных дорог местного значения, относящихся к улично-дорожной сети населенных пунктов городского округа </w:t>
            </w:r>
            <w:r/>
          </w:p>
          <w:p>
            <w:pPr>
              <w:pStyle w:val="685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 искусственных сооружений.</w:t>
            </w:r>
            <w:r/>
          </w:p>
          <w:p>
            <w:pPr>
              <w:pStyle w:val="685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Обеспечение круглогодичной транспортной доступности сельских населенных пунктов, обеспечение автодорогами с твердым покрытием улично-дорожной сети населенных пунктов, микрорайонов массовой жилищной застройки.</w:t>
            </w:r>
            <w:r/>
          </w:p>
        </w:tc>
      </w:tr>
      <w:tr>
        <w:trPr>
          <w:tblCellSpacing w:w="5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7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9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Сроки и этапы реализации подпрограммы 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6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2015-2025 годы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685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</w:t>
            </w:r>
            <w:r>
              <w:rPr>
                <w:sz w:val="28"/>
                <w:szCs w:val="28"/>
              </w:rPr>
              <w:t xml:space="preserve">одпрограмма 1 реализуется в два этапа:</w:t>
            </w:r>
            <w:r/>
          </w:p>
          <w:p>
            <w:pPr>
              <w:pStyle w:val="685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1-й этап 2015-2020 гг.;</w:t>
            </w:r>
            <w:r/>
          </w:p>
          <w:p>
            <w:pPr>
              <w:pStyle w:val="685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2-й этап 2021-2025 гг.</w:t>
            </w:r>
            <w:r/>
          </w:p>
        </w:tc>
      </w:tr>
      <w:tr>
        <w:trPr>
          <w:tblCellSpacing w:w="5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7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9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Объемы бюджетных ассигнований подпрограммы 1 </w:t>
            </w:r>
            <w:r/>
          </w:p>
          <w:p>
            <w:pPr>
              <w:pStyle w:val="685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счет средств бюджета городского округа</w:t>
            </w:r>
            <w:r/>
          </w:p>
          <w:p>
            <w:pPr>
              <w:pStyle w:val="685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(с расшифровкой плановых объемов бюджетных ассигнований </w:t>
            </w:r>
            <w:r/>
          </w:p>
          <w:p>
            <w:pPr>
              <w:pStyle w:val="685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годам </w:t>
            </w:r>
            <w:r/>
          </w:p>
          <w:p>
            <w:pPr>
              <w:pStyle w:val="685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ее реализации), </w:t>
            </w:r>
            <w:r/>
          </w:p>
          <w:p>
            <w:pPr>
              <w:pStyle w:val="685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 также прогнозный объем средств, привлекаемых </w:t>
            </w:r>
            <w:r/>
          </w:p>
          <w:p>
            <w:pPr>
              <w:pStyle w:val="685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 других источников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6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Планируемый объем финансирования </w:t>
            </w:r>
            <w:r>
              <w:rPr>
                <w:sz w:val="28"/>
                <w:szCs w:val="28"/>
              </w:rPr>
              <w:t xml:space="preserve">под</w:t>
            </w:r>
            <w:r>
              <w:rPr>
                <w:sz w:val="28"/>
                <w:szCs w:val="28"/>
              </w:rPr>
              <w:t xml:space="preserve">программы 1 в 2015-2025 годах за счет средств </w:t>
            </w:r>
            <w:r>
              <w:rPr>
                <w:spacing w:val="-1"/>
                <w:sz w:val="28"/>
                <w:szCs w:val="28"/>
              </w:rPr>
              <w:t xml:space="preserve">бюджета </w:t>
            </w:r>
            <w:r>
              <w:rPr>
                <w:sz w:val="28"/>
                <w:szCs w:val="28"/>
              </w:rPr>
              <w:t xml:space="preserve">Грайворонского городского округа – </w:t>
            </w:r>
            <w:r>
              <w:rPr>
                <w:spacing w:val="-2"/>
                <w:sz w:val="28"/>
                <w:szCs w:val="28"/>
              </w:rPr>
              <w:t xml:space="preserve">385 807,367 </w:t>
            </w:r>
            <w:r>
              <w:rPr>
                <w:sz w:val="28"/>
                <w:szCs w:val="28"/>
              </w:rPr>
              <w:t xml:space="preserve">тыс. руб.:</w:t>
            </w:r>
            <w:r/>
          </w:p>
          <w:p>
            <w:pPr>
              <w:pStyle w:val="685"/>
              <w:jc w:val="center"/>
              <w:spacing w:line="322" w:lineRule="exact"/>
              <w:shd w:val="clear" w:color="auto" w:fill="ffffff"/>
              <w:tabs>
                <w:tab w:val="left" w:pos="931" w:leader="none"/>
              </w:tabs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 xml:space="preserve">2015</w:t>
            </w:r>
            <w:r>
              <w:rPr>
                <w:sz w:val="28"/>
                <w:szCs w:val="28"/>
              </w:rPr>
              <w:t xml:space="preserve"> год – 17 609,6 тыс. рублей;</w:t>
            </w:r>
            <w:r/>
          </w:p>
          <w:p>
            <w:pPr>
              <w:pStyle w:val="685"/>
              <w:jc w:val="center"/>
              <w:spacing w:line="322" w:lineRule="exact"/>
              <w:shd w:val="clear" w:color="auto" w:fill="ffffff"/>
              <w:tabs>
                <w:tab w:val="left" w:pos="931" w:leader="none"/>
              </w:tabs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 xml:space="preserve">2016</w:t>
            </w:r>
            <w:r>
              <w:rPr>
                <w:sz w:val="28"/>
                <w:szCs w:val="28"/>
              </w:rPr>
              <w:t xml:space="preserve"> год – 19 970,7 тыс. рублей;</w:t>
            </w:r>
            <w:r/>
          </w:p>
          <w:p>
            <w:pPr>
              <w:pStyle w:val="685"/>
              <w:ind w:hanging="5"/>
              <w:jc w:val="center"/>
              <w:spacing w:line="322" w:lineRule="exact"/>
              <w:shd w:val="clear" w:color="auto" w:fill="ffffff"/>
              <w:tabs>
                <w:tab w:val="left" w:pos="931" w:leader="none"/>
              </w:tabs>
              <w:rPr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 xml:space="preserve">2017</w:t>
            </w:r>
            <w:r>
              <w:rPr>
                <w:sz w:val="28"/>
                <w:szCs w:val="28"/>
              </w:rPr>
              <w:t xml:space="preserve"> год – 22 603,0 тыс. рублей;</w:t>
            </w:r>
            <w:r/>
          </w:p>
          <w:p>
            <w:pPr>
              <w:pStyle w:val="685"/>
              <w:ind w:hanging="5"/>
              <w:jc w:val="center"/>
              <w:spacing w:line="322" w:lineRule="exact"/>
              <w:shd w:val="clear" w:color="auto" w:fill="ffffff"/>
              <w:tabs>
                <w:tab w:val="left" w:pos="931" w:leader="none"/>
              </w:tabs>
              <w:rPr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 xml:space="preserve">2018</w:t>
            </w:r>
            <w:r>
              <w:rPr>
                <w:sz w:val="28"/>
                <w:szCs w:val="28"/>
              </w:rPr>
              <w:t xml:space="preserve"> год – 24 757,1 тыс. рублей;</w:t>
            </w:r>
            <w:r/>
          </w:p>
          <w:p>
            <w:pPr>
              <w:pStyle w:val="685"/>
              <w:ind w:firstLine="5"/>
              <w:jc w:val="center"/>
              <w:spacing w:line="322" w:lineRule="exact"/>
              <w:shd w:val="clear" w:color="auto" w:fill="ffffff"/>
              <w:tabs>
                <w:tab w:val="left" w:pos="931" w:leader="none"/>
              </w:tabs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 xml:space="preserve">2019</w:t>
            </w:r>
            <w:r>
              <w:rPr>
                <w:sz w:val="28"/>
                <w:szCs w:val="28"/>
              </w:rPr>
              <w:t xml:space="preserve"> год – 35 536,5 тыс. рублей;</w:t>
            </w:r>
            <w:r/>
          </w:p>
          <w:p>
            <w:pPr>
              <w:pStyle w:val="685"/>
              <w:jc w:val="center"/>
              <w:spacing w:line="322" w:lineRule="exact"/>
              <w:shd w:val="clear" w:color="auto" w:fill="ffffff"/>
              <w:tabs>
                <w:tab w:val="left" w:pos="931" w:leader="none"/>
              </w:tabs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 xml:space="preserve">2020</w:t>
            </w:r>
            <w:r>
              <w:rPr>
                <w:sz w:val="28"/>
                <w:szCs w:val="28"/>
              </w:rPr>
              <w:t xml:space="preserve"> год – 23 352,9 тыс. рублей;</w:t>
            </w:r>
            <w:r/>
          </w:p>
          <w:p>
            <w:pPr>
              <w:pStyle w:val="685"/>
              <w:jc w:val="center"/>
              <w:spacing w:line="322" w:lineRule="exact"/>
              <w:shd w:val="clear" w:color="auto" w:fill="ffffff"/>
              <w:tabs>
                <w:tab w:val="left" w:pos="931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2021 год – 39 431,4 тыс. рублей;</w:t>
            </w:r>
            <w:r/>
          </w:p>
          <w:p>
            <w:pPr>
              <w:pStyle w:val="685"/>
              <w:jc w:val="center"/>
              <w:spacing w:line="322" w:lineRule="exact"/>
              <w:shd w:val="clear" w:color="auto" w:fill="ffffff"/>
              <w:tabs>
                <w:tab w:val="left" w:pos="931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2022 год – </w:t>
            </w:r>
            <w:r>
              <w:rPr>
                <w:sz w:val="28"/>
                <w:szCs w:val="28"/>
              </w:rPr>
              <w:t xml:space="preserve">39 </w:t>
            </w:r>
            <w:r>
              <w:rPr>
                <w:sz w:val="28"/>
                <w:szCs w:val="28"/>
              </w:rPr>
              <w:t xml:space="preserve">865,367 тыс. рублей;</w:t>
            </w:r>
            <w:r/>
          </w:p>
          <w:p>
            <w:pPr>
              <w:pStyle w:val="685"/>
              <w:jc w:val="center"/>
              <w:spacing w:line="322" w:lineRule="exact"/>
              <w:shd w:val="clear" w:color="auto" w:fill="ffffff"/>
              <w:tabs>
                <w:tab w:val="left" w:pos="931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2023 год – 96 046,0 тыс. рублей;</w:t>
            </w:r>
            <w:r/>
          </w:p>
          <w:p>
            <w:pPr>
              <w:pStyle w:val="685"/>
              <w:jc w:val="center"/>
              <w:spacing w:line="322" w:lineRule="exact"/>
              <w:shd w:val="clear" w:color="auto" w:fill="ffffff"/>
              <w:tabs>
                <w:tab w:val="left" w:pos="931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2024 год – 36 799,0 тыс. рублей;</w:t>
            </w:r>
            <w:r/>
          </w:p>
          <w:p>
            <w:pPr>
              <w:pStyle w:val="685"/>
              <w:jc w:val="center"/>
              <w:spacing w:line="322" w:lineRule="exact"/>
              <w:shd w:val="clear" w:color="auto" w:fill="ffffff"/>
              <w:tabs>
                <w:tab w:val="left" w:pos="931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2025 год – 29 835,8 тыс. рублей.</w:t>
            </w:r>
            <w:r/>
          </w:p>
        </w:tc>
      </w:tr>
      <w:tr>
        <w:trPr>
          <w:tblCellSpacing w:w="5" w:type="dxa"/>
          <w:trHeight w:val="81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7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9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Конечные результаты подпрограммы 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6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2025 году планируется:</w:t>
            </w:r>
            <w:r/>
          </w:p>
          <w:p>
            <w:pPr>
              <w:pStyle w:val="685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Увеличение общей протяженности отремонтированных автодорог местного значения, относящихся к улично-дорожной сети населенных пунктов городского округа</w:t>
            </w:r>
            <w:r>
              <w:rPr>
                <w:sz w:val="28"/>
                <w:szCs w:val="28"/>
              </w:rPr>
              <w:t xml:space="preserve">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685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42 км.</w:t>
            </w:r>
            <w:r/>
          </w:p>
          <w:p>
            <w:pPr>
              <w:pStyle w:val="685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Увеличение протяженности автомобильных дорог с твердым покрытием в населенных пунктах и микрорайонах массовой жилищной застройки </w:t>
            </w:r>
            <w:r>
              <w:rPr>
                <w:sz w:val="28"/>
                <w:szCs w:val="28"/>
              </w:rPr>
              <w:t xml:space="preserve">городского округа</w:t>
            </w:r>
            <w:r>
              <w:rPr>
                <w:sz w:val="28"/>
                <w:szCs w:val="28"/>
              </w:rPr>
              <w:t xml:space="preserve"> на 9 км.</w:t>
            </w:r>
            <w:r/>
          </w:p>
        </w:tc>
      </w:tr>
    </w:tbl>
    <w:p>
      <w:pPr>
        <w:pStyle w:val="685"/>
        <w:rPr>
          <w:sz w:val="16"/>
          <w:szCs w:val="16"/>
        </w:rPr>
      </w:pPr>
      <w:r>
        <w:rPr>
          <w:sz w:val="16"/>
          <w:szCs w:val="16"/>
        </w:rPr>
      </w:r>
      <w:r/>
    </w:p>
    <w:p>
      <w:pPr>
        <w:pStyle w:val="6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Характеристика сферы реализации подпрограммы</w:t>
      </w:r>
      <w:r>
        <w:rPr>
          <w:b/>
          <w:sz w:val="28"/>
          <w:szCs w:val="28"/>
        </w:rPr>
        <w:t xml:space="preserve"> 1</w:t>
      </w:r>
      <w:r>
        <w:rPr>
          <w:b/>
          <w:sz w:val="28"/>
          <w:szCs w:val="28"/>
        </w:rPr>
        <w:t xml:space="preserve">, описание</w:t>
      </w:r>
      <w:r/>
    </w:p>
    <w:p>
      <w:pPr>
        <w:pStyle w:val="6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основных проблем в указанной сфере и прогноз ее развития</w:t>
      </w:r>
      <w:r/>
    </w:p>
    <w:p>
      <w:pPr>
        <w:pStyle w:val="685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Дорожное хозяйство - комплекс, включающий в себя сеть автомобильных дорог </w:t>
      </w:r>
      <w:r>
        <w:rPr>
          <w:sz w:val="28"/>
          <w:szCs w:val="28"/>
        </w:rPr>
        <w:t xml:space="preserve">общего пользования со всеми сооружениями, необходимыми </w:t>
        <w:br/>
        <w:t xml:space="preserve">для ее нормальной эксплуатации, а также предприятия и организации, осуществляющие деятельность, связанную с проектированием, строительством, реконструкцией, ремонтом и содержанием автомобильных дорог.</w:t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Эффективное функционирование и устойчивое развитие сети автомобильных дорог являются необходимыми условиями экономического роста, повышения конкурентоспособности и снижения издержек товаропроизводителей, улучшения условий жизни населения.</w:t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настоящее время в Грайворонском городском округе активно реализуются приоритетные национальные проекты, особенно </w:t>
        <w:br/>
        <w:t xml:space="preserve">в сельскохозяйственном секторе экономики.</w:t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состоянию </w:t>
      </w:r>
      <w:r>
        <w:rPr>
          <w:sz w:val="28"/>
          <w:szCs w:val="28"/>
        </w:rPr>
        <w:t xml:space="preserve">на 01 января 2014 года</w:t>
      </w:r>
      <w:r>
        <w:rPr>
          <w:sz w:val="28"/>
          <w:szCs w:val="28"/>
        </w:rPr>
        <w:t xml:space="preserve"> протяженность автомобильных дорог общего пользования </w:t>
      </w:r>
      <w:r>
        <w:rPr>
          <w:sz w:val="28"/>
          <w:szCs w:val="28"/>
        </w:rPr>
        <w:t xml:space="preserve">городского округа составляет 577</w:t>
      </w:r>
      <w:r>
        <w:rPr>
          <w:sz w:val="28"/>
          <w:szCs w:val="28"/>
        </w:rPr>
        <w:t xml:space="preserve"> км, из них дороги общего пол</w:t>
      </w:r>
      <w:r>
        <w:rPr>
          <w:sz w:val="28"/>
          <w:szCs w:val="28"/>
        </w:rPr>
        <w:t xml:space="preserve">ьзования местного значения – 369</w:t>
      </w:r>
      <w:r>
        <w:rPr>
          <w:sz w:val="28"/>
          <w:szCs w:val="28"/>
        </w:rPr>
        <w:t xml:space="preserve">,1 км. </w:t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Протяженность улично-дорожной сети в населенных пунктах составляет 358,2 км, в том ч</w:t>
      </w:r>
      <w:r>
        <w:rPr>
          <w:sz w:val="28"/>
          <w:szCs w:val="28"/>
        </w:rPr>
        <w:t xml:space="preserve">исле с твердым покрытием – 338,8</w:t>
      </w:r>
      <w:r>
        <w:rPr>
          <w:sz w:val="28"/>
          <w:szCs w:val="28"/>
        </w:rPr>
        <w:t xml:space="preserve"> км (</w:t>
      </w:r>
      <w:r>
        <w:rPr>
          <w:sz w:val="28"/>
          <w:szCs w:val="28"/>
        </w:rPr>
        <w:t xml:space="preserve">95</w:t>
      </w:r>
      <w:r>
        <w:rPr>
          <w:sz w:val="28"/>
          <w:szCs w:val="28"/>
        </w:rPr>
        <w:t xml:space="preserve">%).</w:t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автомобильных дорогах общего пользования местного значения городского округа находится 23 моста. </w:t>
      </w:r>
      <w:r>
        <w:rPr>
          <w:sz w:val="28"/>
          <w:szCs w:val="28"/>
        </w:rPr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наиболее актуальным проблемам дорожного хозяйства Грайворонского городского</w:t>
      </w:r>
      <w:r>
        <w:rPr>
          <w:sz w:val="28"/>
          <w:szCs w:val="28"/>
        </w:rPr>
        <w:t xml:space="preserve"> округа можно отнести следующие.</w:t>
      </w:r>
      <w:r>
        <w:rPr>
          <w:sz w:val="28"/>
          <w:szCs w:val="28"/>
        </w:rPr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Неудовлетворительное транспортно - эксплуатационное состояние </w:t>
        <w:br/>
        <w:t xml:space="preserve">и высокая степень износа сети автомобильных дорог общего пользования межмуниципального значения, местного значения и искусственных сооружений на них.</w:t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Несмотря на меры, принимаем</w:t>
      </w:r>
      <w:r>
        <w:rPr>
          <w:sz w:val="28"/>
          <w:szCs w:val="28"/>
        </w:rPr>
        <w:t xml:space="preserve">ые по капитальному ремонту и ремонту, </w:t>
        <w:br/>
        <w:t xml:space="preserve">в настоящее время 21 процент (120 км) автомобильных дорог общего пользования эксплуатируются с просроченными межремонтными сроками </w:t>
        <w:br/>
        <w:t xml:space="preserve">и не соответствуют нормативным требованиям к транспортно-эксплуатационному состоянию.</w:t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условиях роста цен на дорожные работы и ограниченного финансирования эти требования не выполняются, и с каждым годом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увеличивается протяженность автомобильных дорог местного значения, требующих ремонта.</w:t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сегодня потребность в проведении плановых ремонтов автомобильных дорог составляет 70 километров, из них: капитального ремонта - 40 километров.</w:t>
      </w:r>
      <w:r/>
    </w:p>
    <w:p>
      <w:pPr>
        <w:pStyle w:val="685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</w:t>
        <w:tab/>
        <w:t xml:space="preserve">Повышение доли большегрузных автомобилей, влияющих </w:t>
        <w:br/>
        <w:t xml:space="preserve">на сохранность существующей дорожной сети, в общем транспортном потоке.</w:t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Несущая способность дорог не соответствует современным требованиям к нагрузкам, в результате чего покрытие автодорог интенсивно разрушается. </w:t>
        <w:br/>
        <w:t xml:space="preserve">По причине значительного роста интенсивности движения и увеличения нагрузок больш</w:t>
      </w:r>
      <w:r>
        <w:rPr>
          <w:sz w:val="28"/>
          <w:szCs w:val="28"/>
        </w:rPr>
        <w:t xml:space="preserve">ая часть дорог, соединяющих центр городского округа </w:t>
        <w:br/>
        <w:t xml:space="preserve">с административными центрами сельских территорий, построенных 20-30 лет назад и рассчитанных на осевую нагрузку в 6 тонн, исчерпали свой ресурс </w:t>
        <w:br/>
        <w:t xml:space="preserve">и не справляются со своими функциями. Несмотря на реализуе</w:t>
      </w:r>
      <w:r>
        <w:rPr>
          <w:sz w:val="28"/>
          <w:szCs w:val="28"/>
        </w:rPr>
        <w:t xml:space="preserve">мые в городском округе областные долгосрочные целевые программы идет отставание темпов роста протяженности новых дорог и увеличения пропускной способности существующих автомобильных дорог от темпов роста автомобилизации </w:t>
        <w:br/>
        <w:t xml:space="preserve">и интенсивности дорожного движения.</w:t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Фактически в </w:t>
      </w:r>
      <w:r>
        <w:rPr>
          <w:sz w:val="28"/>
          <w:szCs w:val="28"/>
        </w:rPr>
        <w:t xml:space="preserve">2012-2013 годах</w:t>
      </w:r>
      <w:r>
        <w:rPr>
          <w:sz w:val="28"/>
          <w:szCs w:val="28"/>
        </w:rPr>
        <w:t xml:space="preserve"> построено и реконструировано 52 км автомобильных дорог общего пользования.</w:t>
      </w:r>
      <w:r/>
    </w:p>
    <w:p>
      <w:pPr>
        <w:pStyle w:val="685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3.</w:t>
        <w:tab/>
        <w:t xml:space="preserve">Отсутствие объездной автомобильной дороги вокруг г.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Грайворона вынуждает использовать улично-дорожную сеть для транзитного автомобильного движения. Улицы, являющиеся продолжением автомоб</w:t>
      </w:r>
      <w:r>
        <w:rPr>
          <w:sz w:val="28"/>
          <w:szCs w:val="28"/>
        </w:rPr>
        <w:t xml:space="preserve">ильных дорог, имеют недостаточную ширину, и по условиям сложившейся застройки невозможно их расширение. Технические параметры улиц не соответствуют уровням возрастающей транспортной нагрузки, что также приводит </w:t>
        <w:br/>
        <w:t xml:space="preserve">к разрушению покрытия уличной дорожной сети.</w:t>
      </w:r>
      <w:r/>
    </w:p>
    <w:p>
      <w:pPr>
        <w:pStyle w:val="685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4.</w:t>
        <w:tab/>
        <w:t xml:space="preserve">Введение ограничений на проезд большегрузного транспорта </w:t>
        <w:br/>
        <w:t xml:space="preserve">по автомобильным дорогам общего пользования вследствие неудовлетворительного состояния расположенных на них искусственных сооружений.</w:t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автодорогах местного значения, относящихся к улично-дорожной сети населенных пунктов городского округа, искусственные сооружения введены </w:t>
        <w:br/>
        <w:t xml:space="preserve">в эксплуатацию 30 и более лет назад и в настоящее время существует потребность в их ремонте. </w:t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Строительство дорог в населенных пунктах значительно улучшило качество жизни жителей Грайворонского городского округа, повысило эффективность работы автомобильного транспорта и безопасность дорожного движения.</w:t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 не менее, с учетом проведенной инвентаризации и целесообразности строительства автомобильных дорог, протяженность грунтовых дорог улично-дорожной </w:t>
      </w:r>
      <w:r>
        <w:rPr>
          <w:sz w:val="28"/>
          <w:szCs w:val="28"/>
        </w:rPr>
        <w:t xml:space="preserve">сети на 01 января 2014 года составляет</w:t>
      </w:r>
      <w:r>
        <w:rPr>
          <w:sz w:val="28"/>
          <w:szCs w:val="28"/>
        </w:rPr>
        <w:t xml:space="preserve"> 26 километров.</w:t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решения всех этих проблем разработан комплекс мероприятий подпрограммы 1, который направлен на достижение современной </w:t>
        <w:br/>
        <w:t xml:space="preserve">и эффективной работы транспортной инфраструктуры в городском округе.</w:t>
      </w:r>
      <w:r/>
    </w:p>
    <w:p>
      <w:pPr>
        <w:pStyle w:val="685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Цель, задачи, сроки и этапы реализации подпрограммы 1</w:t>
      </w:r>
      <w:r/>
    </w:p>
    <w:p>
      <w:pPr>
        <w:pStyle w:val="6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Целью подпрограммы 1 является со</w:t>
      </w:r>
      <w:r>
        <w:rPr>
          <w:sz w:val="28"/>
          <w:szCs w:val="28"/>
        </w:rPr>
        <w:t xml:space="preserve">хранность и развитие автодорог местного значения, относящихся к улично-дорожной сети населенных пунктов  городского округа, в соответствии с темпами экономического развития городского округа, ростом уровня автомобилизации и объемов автомобильных перевозок.</w:t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достижения указанной цели предлагается сконцентрировать финансовые и организационные усилия на реализации мероприятий </w:t>
        <w:br/>
        <w:t xml:space="preserve">по решению следующих задач:</w:t>
      </w:r>
      <w:r/>
    </w:p>
    <w:p>
      <w:pPr>
        <w:pStyle w:val="685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1.</w:t>
        <w:tab/>
        <w:t xml:space="preserve">Обеспечение сохранности существующей сети автодорог местного значения, относящихся к улично-дорожной сети населенных пунктов городского округа.</w:t>
      </w:r>
      <w:r/>
    </w:p>
    <w:p>
      <w:pPr>
        <w:pStyle w:val="685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</w:t>
        <w:tab/>
        <w:t xml:space="preserve">Улучшение транспортно - эксплуатационных характеристик </w:t>
        <w:br/>
        <w:t xml:space="preserve">и потребительских свойств автодорог с целью снижения транспортных издержек.</w:t>
      </w:r>
      <w:r/>
    </w:p>
    <w:p>
      <w:pPr>
        <w:pStyle w:val="685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3.</w:t>
        <w:tab/>
        <w:t xml:space="preserve">Увеличение пропускной способности автомобильных дорог местного значения, относящихся к улично-дорожной сети населенных пунктов городского округа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и искусственных сооружений.</w:t>
      </w:r>
      <w:r/>
    </w:p>
    <w:p>
      <w:pPr>
        <w:pStyle w:val="685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4.</w:t>
        <w:tab/>
        <w:t xml:space="preserve">Обеспечение круглогодичной транспортной доступности сельских населенных пунктов, обеспечение автодорогами с твердым покрытием улично-дорожной сети населенных пунктов, микрорайонов массовой жилищной застройки.</w:t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Сроки реализации подпрограммы 1.</w:t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Реализуется в два этапа:</w:t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1-й этап 2015-2020 годы;</w:t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2-й этап 2021-2025 годы.</w:t>
      </w:r>
      <w:r/>
    </w:p>
    <w:p>
      <w:pPr>
        <w:pStyle w:val="685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Обоснование выделения системы мероприятий</w:t>
      </w:r>
      <w:r/>
    </w:p>
    <w:p>
      <w:pPr>
        <w:pStyle w:val="6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краткое описание основных мероприятий подпрограммы 1</w:t>
      </w:r>
      <w:r/>
    </w:p>
    <w:p>
      <w:pPr>
        <w:pStyle w:val="685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Подпрограмма 1 предусматривает осуществление комплекса мероприятий по строительству, ремонту и содержанию автомобильных дорог местного з</w:t>
      </w:r>
      <w:r>
        <w:rPr>
          <w:sz w:val="28"/>
          <w:szCs w:val="28"/>
        </w:rPr>
        <w:t xml:space="preserve">начения, относящихся к улично-дорожной сети населенных пунктов городского округа и искусственных сооружений на них, безопасности дорожного движения, а также предоставление субсидий бюджетам муниципальных образований за счет средств дорожного фонда области.</w:t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Задача 1. В рамках решения задачи 1 «Обеспечение сохранности существующей сети автодорог местного значения, относящихся к улично-дорожной сети населенных пунктов городского округа»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планируется реализовать основное мероприятие 1.1 «Содержание и ремонт автомобильных дорог местного значения, относящихся к улично-дорожной сети населенных пунктов городского округа».</w:t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Мероприятия по содержанию автомобильных дорог и искусственных сооружений предусматривают проведение полного комплекса круглогодичных работ на всей сети дорог в соответствии с действующим</w:t>
      </w:r>
      <w:r>
        <w:rPr>
          <w:sz w:val="28"/>
          <w:szCs w:val="28"/>
        </w:rPr>
        <w:t xml:space="preserve">и нормативными документами. В программный период необходимо осуществить комплекс мероприятий по обеспечению функционирования эффективной системы содержания дорог, основанной на оптимальном расходовании выделенных средств и материально-технических ресурсов.</w:t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Общая протяженность автомобильных дорог местного значения, относящихся к улично-дорожной сети населенных пунктов городского округа, </w:t>
      </w:r>
      <w:r>
        <w:rPr>
          <w:sz w:val="28"/>
          <w:szCs w:val="28"/>
        </w:rPr>
        <w:t xml:space="preserve">на 01 января 2014 года составляет</w:t>
      </w:r>
      <w:r>
        <w:rPr>
          <w:sz w:val="28"/>
          <w:szCs w:val="28"/>
        </w:rPr>
        <w:t xml:space="preserve"> 358,2 км, в том ч</w:t>
      </w:r>
      <w:r>
        <w:rPr>
          <w:sz w:val="28"/>
          <w:szCs w:val="28"/>
        </w:rPr>
        <w:t xml:space="preserve">исле с твердым покрытием – 338,8</w:t>
      </w:r>
      <w:r>
        <w:rPr>
          <w:sz w:val="28"/>
          <w:szCs w:val="28"/>
        </w:rPr>
        <w:t xml:space="preserve"> км. </w:t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Мероприятия по ремонту автомобильных дорог и мостов включают </w:t>
        <w:br/>
        <w:t xml:space="preserve">в себя:</w:t>
      </w:r>
      <w:r/>
    </w:p>
    <w:p>
      <w:pPr>
        <w:pStyle w:val="685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  <w:t xml:space="preserve">ремонтно-восстановительные работы на участках дорожной сети, требующих неотложного ремонта по показателям безопасности дорожного движения, с последующим переходом к проведению плановых ремонтов </w:t>
        <w:br/>
        <w:t xml:space="preserve">в соответствии с нормативными межремонтными сроками;</w:t>
      </w:r>
      <w:r/>
    </w:p>
    <w:p>
      <w:pPr>
        <w:pStyle w:val="685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  <w:t xml:space="preserve">ремонтные работы по восстановлению проектной грузоподъемности, повышению долговечности мостовых сооружений, а также обеспечение нормативных требований по безопасности дорожного движения.</w:t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Мероприятия по повышению безопасности дорожного движения, включающие в себя обустройство автомобильных дорог техническими средствами организации </w:t>
      </w:r>
      <w:r>
        <w:rPr>
          <w:sz w:val="28"/>
          <w:szCs w:val="28"/>
        </w:rPr>
        <w:t xml:space="preserve">дорожного движения и объектами дорожного сервиса в соответствии с современными требованиями к уровню развития транспортной инфраструктуры и обеспечению безопасности дорожного движения, в целях повышения качества предоставляемых транспортных услуг, а именно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/>
    </w:p>
    <w:p>
      <w:pPr>
        <w:pStyle w:val="685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  <w:t xml:space="preserve">обустройство автомобильных дорог недостающими дорожными знаками, сигнальными столбиками, ограждениями;</w:t>
      </w:r>
      <w:r/>
    </w:p>
    <w:p>
      <w:pPr>
        <w:pStyle w:val="685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  <w:t xml:space="preserve">устройство недостающих остановочных и посадочных площадок </w:t>
        <w:br/>
        <w:t xml:space="preserve">и автопавильонов на автобусных остановках;</w:t>
      </w:r>
      <w:r/>
    </w:p>
    <w:p>
      <w:pPr>
        <w:pStyle w:val="685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  <w:t xml:space="preserve">реализация проектов организации дорожного движения (ПОДД);</w:t>
      </w:r>
      <w:r/>
    </w:p>
    <w:p>
      <w:pPr>
        <w:pStyle w:val="685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  <w:t xml:space="preserve">нанесение горизонтальной разметки на проезжую часть автодорог.</w:t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Задача 2. В рамках решения задачи 2 «Улучшение транспортно - эксплуатационных характеристик и потребите</w:t>
      </w:r>
      <w:r>
        <w:rPr>
          <w:sz w:val="28"/>
          <w:szCs w:val="28"/>
        </w:rPr>
        <w:t xml:space="preserve">льских свойств автодорог </w:t>
        <w:br/>
        <w:t xml:space="preserve">с целью снижения транспортных издержек» планируется реализовать основное мероприятие 1.2 «Капитальный ремонт и ремонт автомобильных дорог местного значения, относящихся к улично-дорожной сети населенных пунктов городского округа».</w:t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Кап</w:t>
      </w:r>
      <w:r>
        <w:rPr>
          <w:sz w:val="28"/>
          <w:szCs w:val="28"/>
        </w:rPr>
        <w:t xml:space="preserve">итальный ремонт автомобильных дорог, которые по интенсивности движения не нуждаются в реконструкции с переводом в более высокую категорию, но в связи со значительным увеличением в составе транспортного потока доли большегрузных автомобилей требуют проведен</w:t>
      </w:r>
      <w:r>
        <w:rPr>
          <w:sz w:val="28"/>
          <w:szCs w:val="28"/>
        </w:rPr>
        <w:t xml:space="preserve">ия работ </w:t>
        <w:br/>
        <w:t xml:space="preserve">по усилению дорожной одежды, совершенствованию системы водоотвода, исправлению продольного профиля на отдельных участках дороги, обустройство дорожными знаками и ограждениями для обеспечения нормативных требований безопасности дорожного движения.</w:t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Задача 3. В рамках решения задачи 3 «Увеличение пропускной способности авт</w:t>
      </w:r>
      <w:r>
        <w:rPr>
          <w:sz w:val="28"/>
          <w:szCs w:val="28"/>
        </w:rPr>
        <w:t xml:space="preserve">омобильных дорог общего пользования и искусственных сооружений» планируется реализовать основное мероприятие 1.3 «Строительство (реконструкция) автомобильных дорог местного значения, относящихся к улично-дорожной сети населенных пунктов городского округа».</w:t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Мероприятия по строительству и реконструкции автомобил</w:t>
      </w:r>
      <w:r>
        <w:rPr>
          <w:sz w:val="28"/>
          <w:szCs w:val="28"/>
        </w:rPr>
        <w:t xml:space="preserve">ьных дорог </w:t>
        <w:br/>
        <w:t xml:space="preserve">и искусственных сооружений включают в себя строительство автодорог, </w:t>
        <w:br/>
        <w:t xml:space="preserve">и реконструкцию существующих дорог и искусственных сооружений с целью приведения их технических параметров в соответствие с существующими нагрузками и интенсивностью движения.</w:t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Задач</w:t>
      </w:r>
      <w:r>
        <w:rPr>
          <w:sz w:val="28"/>
          <w:szCs w:val="28"/>
        </w:rPr>
        <w:t xml:space="preserve">а 4. В рамках решения задачи 4 «Обеспечение круглогодичной транспортной доступности сельских населенных пунктов, обеспечение автодорогами с твердым покрытием улично-дорожной сети населенных пунктов, микрорайонов массовой жилищной застройки» планируется реа</w:t>
      </w:r>
      <w:r>
        <w:rPr>
          <w:sz w:val="28"/>
          <w:szCs w:val="28"/>
        </w:rPr>
        <w:t xml:space="preserve">лизовать 2 основных мероприятия.</w:t>
      </w:r>
      <w:r>
        <w:rPr>
          <w:sz w:val="28"/>
          <w:szCs w:val="28"/>
        </w:rPr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Основное мероприятие 1.4 «Строительство (реконструкция)  автомобильных дорог, соединяющих населенные пункты, автомобильных дорог в районах массовой жилищной застройки», включающее в себя:</w:t>
      </w:r>
      <w:r/>
    </w:p>
    <w:p>
      <w:pPr>
        <w:pStyle w:val="685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  <w:t xml:space="preserve">строительство автомобильных дорог по улично-дорожной сети населенных пунктов;</w:t>
      </w:r>
      <w:r/>
    </w:p>
    <w:p>
      <w:pPr>
        <w:pStyle w:val="685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  <w:t xml:space="preserve">строительство автомобильных дорог в микрорайонах массовой жилищной застройки.</w:t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Основное мероприятие 1.5 «Субсидии на строительство (реконструкцию) автомобильных дорог общего пользования местного значения до сельских населенных пунктов, не имеющих круглогодичной связи с сетью автомоби</w:t>
      </w:r>
      <w:r>
        <w:rPr>
          <w:sz w:val="28"/>
          <w:szCs w:val="28"/>
        </w:rPr>
        <w:t xml:space="preserve">льных дорог общего пользования», предусматривающее выделение субсидий муниципальным образованиям за счет бюджетных ассигнований дорожного фонда Белгородской области на осуществление дорожной деятельности в отношении дорог местного значения (строительство).</w:t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целом, все запланированные мероприятия подп</w:t>
      </w:r>
      <w:r>
        <w:rPr>
          <w:sz w:val="28"/>
          <w:szCs w:val="28"/>
        </w:rPr>
        <w:t xml:space="preserve">рограммы 1 окажут позитивное влияние на решение социальных проблем, достижение стабилизации экономики, реализацию приоритетных национальных проектов, создание безопасных условий движения транспорта и перевозки пассажиров, повышение комфортности проживания.</w:t>
      </w:r>
      <w:r/>
    </w:p>
    <w:p>
      <w:pPr>
        <w:pStyle w:val="685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Прогноз конечных результатов подпрограммы 1.</w:t>
      </w:r>
      <w:r/>
    </w:p>
    <w:p>
      <w:pPr>
        <w:pStyle w:val="6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Перечень показателей подпрограммы 1</w:t>
      </w:r>
      <w:r/>
    </w:p>
    <w:p>
      <w:pPr>
        <w:pStyle w:val="685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результате реализации мероприятий подпрограммы 1 к 2025 году:</w:t>
      </w:r>
      <w:r/>
    </w:p>
    <w:p>
      <w:pPr>
        <w:pStyle w:val="685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1.</w:t>
        <w:tab/>
        <w:t xml:space="preserve">Увеличение общей протяженности отремонтированных автодорог местного значения, относящихся к улично-дорожной сети населенных пунктов городского округа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на 42 км.</w:t>
      </w:r>
      <w:r/>
    </w:p>
    <w:p>
      <w:pPr>
        <w:pStyle w:val="685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</w:t>
        <w:tab/>
        <w:t xml:space="preserve">Увеличение протяженности автомобильных дорог с твердым покрытием в населенных пунктах городского округа и в микрорайонах массовой жилищной застройки на 9 км. </w:t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Сведения о методике расчёта показателей конечного результата представлены в приложении №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 к муниципальной программе.</w:t>
      </w:r>
      <w:r/>
    </w:p>
    <w:p>
      <w:pPr>
        <w:pStyle w:val="685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pStyle w:val="6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Ресурсное обеспечение подпрограммы 1 (в разрезе главных распорядителей средств бюджета городского округа, основных</w:t>
      </w:r>
      <w:r/>
    </w:p>
    <w:p>
      <w:pPr>
        <w:pStyle w:val="685"/>
        <w:jc w:val="center"/>
        <w:rPr>
          <w:b/>
        </w:rPr>
      </w:pPr>
      <w:r>
        <w:rPr>
          <w:b/>
          <w:sz w:val="28"/>
          <w:szCs w:val="28"/>
        </w:rPr>
        <w:t xml:space="preserve">мероприятий, а также по годам реализации подпрограммы</w:t>
      </w:r>
      <w:r>
        <w:rPr>
          <w:b/>
          <w:sz w:val="28"/>
          <w:szCs w:val="28"/>
        </w:rPr>
        <w:t xml:space="preserve"> 1</w:t>
      </w:r>
      <w:r>
        <w:rPr>
          <w:b/>
          <w:sz w:val="28"/>
          <w:szCs w:val="28"/>
        </w:rPr>
        <w:t xml:space="preserve">)</w:t>
      </w:r>
      <w:r>
        <w:rPr>
          <w:b/>
        </w:rPr>
      </w:r>
      <w:r/>
    </w:p>
    <w:p>
      <w:pPr>
        <w:pStyle w:val="685"/>
      </w:pPr>
      <w:r/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Общий объем финансовых средств, необходимый для реализации подпрограммы 1, составляет </w:t>
      </w:r>
      <w:r>
        <w:rPr>
          <w:spacing w:val="-2"/>
          <w:sz w:val="28"/>
          <w:szCs w:val="28"/>
        </w:rPr>
        <w:t xml:space="preserve">684 096,767 </w:t>
      </w:r>
      <w:r>
        <w:rPr>
          <w:sz w:val="28"/>
          <w:szCs w:val="28"/>
        </w:rPr>
        <w:t xml:space="preserve">тыс. рублей.</w:t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Объем финансирования мероприятий подпрограммы 1 за счет средств бюджета городского округа составляет </w:t>
      </w:r>
      <w:r>
        <w:rPr>
          <w:spacing w:val="-2"/>
          <w:sz w:val="28"/>
          <w:szCs w:val="28"/>
        </w:rPr>
        <w:t xml:space="preserve">385 807,367 </w:t>
      </w:r>
      <w:r>
        <w:rPr>
          <w:sz w:val="28"/>
          <w:szCs w:val="28"/>
        </w:rPr>
        <w:t xml:space="preserve">тыс. рублей, в том числе </w:t>
        <w:br/>
        <w:t xml:space="preserve">по годам реализации: </w:t>
      </w:r>
      <w:r/>
    </w:p>
    <w:p>
      <w:pPr>
        <w:pStyle w:val="685"/>
        <w:ind w:firstLine="2977"/>
        <w:spacing w:line="322" w:lineRule="exact"/>
        <w:shd w:val="clear" w:color="auto" w:fill="ffffff"/>
        <w:tabs>
          <w:tab w:val="left" w:pos="931" w:leader="none"/>
        </w:tabs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2015</w:t>
      </w:r>
      <w:r>
        <w:rPr>
          <w:sz w:val="28"/>
          <w:szCs w:val="28"/>
        </w:rPr>
        <w:t xml:space="preserve"> год – 17 609,6 тыс. рублей;</w:t>
      </w:r>
      <w:r/>
    </w:p>
    <w:p>
      <w:pPr>
        <w:pStyle w:val="685"/>
        <w:ind w:firstLine="2977"/>
        <w:spacing w:line="322" w:lineRule="exact"/>
        <w:shd w:val="clear" w:color="auto" w:fill="ffffff"/>
        <w:tabs>
          <w:tab w:val="left" w:pos="931" w:leader="none"/>
        </w:tabs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2016</w:t>
      </w:r>
      <w:r>
        <w:rPr>
          <w:sz w:val="28"/>
          <w:szCs w:val="28"/>
        </w:rPr>
        <w:t xml:space="preserve"> год – 19 970,7 тыс. рублей;</w:t>
      </w:r>
      <w:r/>
    </w:p>
    <w:p>
      <w:pPr>
        <w:pStyle w:val="685"/>
        <w:ind w:firstLine="2977"/>
        <w:spacing w:line="322" w:lineRule="exact"/>
        <w:shd w:val="clear" w:color="auto" w:fill="ffffff"/>
        <w:tabs>
          <w:tab w:val="left" w:pos="931" w:leader="none"/>
        </w:tabs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2017</w:t>
      </w:r>
      <w:r>
        <w:rPr>
          <w:sz w:val="28"/>
          <w:szCs w:val="28"/>
        </w:rPr>
        <w:t xml:space="preserve"> год – 22 603,0 тыс. рублей;</w:t>
      </w:r>
      <w:r/>
    </w:p>
    <w:p>
      <w:pPr>
        <w:pStyle w:val="685"/>
        <w:ind w:firstLine="2977"/>
        <w:spacing w:line="322" w:lineRule="exact"/>
        <w:shd w:val="clear" w:color="auto" w:fill="ffffff"/>
        <w:tabs>
          <w:tab w:val="left" w:pos="931" w:leader="none"/>
        </w:tabs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2018</w:t>
      </w:r>
      <w:r>
        <w:rPr>
          <w:sz w:val="28"/>
          <w:szCs w:val="28"/>
        </w:rPr>
        <w:t xml:space="preserve"> год – 24 757,1 тыс. рублей;</w:t>
      </w:r>
      <w:r/>
    </w:p>
    <w:p>
      <w:pPr>
        <w:pStyle w:val="685"/>
        <w:ind w:firstLine="2977"/>
        <w:spacing w:line="322" w:lineRule="exact"/>
        <w:shd w:val="clear" w:color="auto" w:fill="ffffff"/>
        <w:tabs>
          <w:tab w:val="left" w:pos="931" w:leader="none"/>
        </w:tabs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2019</w:t>
      </w:r>
      <w:r>
        <w:rPr>
          <w:sz w:val="28"/>
          <w:szCs w:val="28"/>
        </w:rPr>
        <w:t xml:space="preserve"> год – 35 536,5 тыс. рублей;</w:t>
      </w:r>
      <w:r/>
    </w:p>
    <w:p>
      <w:pPr>
        <w:pStyle w:val="685"/>
        <w:ind w:firstLine="2977"/>
        <w:spacing w:line="322" w:lineRule="exact"/>
        <w:shd w:val="clear" w:color="auto" w:fill="ffffff"/>
        <w:tabs>
          <w:tab w:val="left" w:pos="931" w:leader="none"/>
        </w:tabs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2020</w:t>
      </w:r>
      <w:r>
        <w:rPr>
          <w:sz w:val="28"/>
          <w:szCs w:val="28"/>
        </w:rPr>
        <w:t xml:space="preserve"> год – 23 352,9 тыс. рублей;</w:t>
      </w:r>
      <w:r/>
    </w:p>
    <w:p>
      <w:pPr>
        <w:pStyle w:val="685"/>
        <w:ind w:firstLine="2977"/>
        <w:spacing w:line="322" w:lineRule="exact"/>
        <w:shd w:val="clear" w:color="auto" w:fill="ffffff"/>
        <w:tabs>
          <w:tab w:val="left" w:pos="93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2021 год – 39</w:t>
      </w:r>
      <w:r>
        <w:rPr>
          <w:sz w:val="28"/>
          <w:szCs w:val="28"/>
        </w:rPr>
        <w:t xml:space="preserve"> 431,4 тыс. рублей;</w:t>
      </w:r>
      <w:r/>
    </w:p>
    <w:p>
      <w:pPr>
        <w:pStyle w:val="685"/>
        <w:ind w:firstLine="2977"/>
        <w:spacing w:line="322" w:lineRule="exact"/>
        <w:shd w:val="clear" w:color="auto" w:fill="ffffff"/>
        <w:tabs>
          <w:tab w:val="left" w:pos="93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2022 год – 39 865,367 тыс. рублей;</w:t>
      </w:r>
      <w:r/>
    </w:p>
    <w:p>
      <w:pPr>
        <w:pStyle w:val="685"/>
        <w:ind w:firstLine="2977"/>
        <w:spacing w:line="322" w:lineRule="exact"/>
        <w:shd w:val="clear" w:color="auto" w:fill="ffffff"/>
        <w:tabs>
          <w:tab w:val="left" w:pos="93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2023 год – 96 046,0 тыс. рублей;</w:t>
      </w:r>
      <w:r/>
    </w:p>
    <w:p>
      <w:pPr>
        <w:pStyle w:val="685"/>
        <w:ind w:firstLine="2977"/>
        <w:spacing w:line="322" w:lineRule="exact"/>
        <w:shd w:val="clear" w:color="auto" w:fill="ffffff"/>
        <w:tabs>
          <w:tab w:val="left" w:pos="93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2024 год – 36 799,0 тыс. рублей;</w:t>
      </w:r>
      <w:r/>
    </w:p>
    <w:p>
      <w:pPr>
        <w:pStyle w:val="685"/>
        <w:ind w:firstLine="2977"/>
        <w:spacing w:line="322" w:lineRule="exact"/>
        <w:shd w:val="clear" w:color="auto" w:fill="ffffff"/>
        <w:tabs>
          <w:tab w:val="left" w:pos="93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2025 год – 29 835,8 тыс. рублей.</w:t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Ресурсное обеспечение и прогнозная (справочная) оценка расходов </w:t>
      </w:r>
      <w:r>
        <w:rPr>
          <w:sz w:val="28"/>
          <w:szCs w:val="28"/>
        </w:rPr>
        <w:br/>
        <w:t xml:space="preserve">на реализацию мероприятий подпрограммы 1 из различных источников финансирования и ресурсное обеспечение реализации подпрограммы 1 за счет средств бюджета Грайворонского городского округа по годам представлены </w:t>
        <w:br/>
        <w:t xml:space="preserve">в приложении №4 и к муниципальной  программе.</w:t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Объем</w:t>
      </w:r>
      <w:r>
        <w:t xml:space="preserve"> </w:t>
      </w:r>
      <w:r>
        <w:rPr>
          <w:sz w:val="28"/>
          <w:szCs w:val="28"/>
        </w:rPr>
        <w:t xml:space="preserve">финансового обеспечения подпрограммы 1 подлежит ежегодному уточнению в рамках подготовки проекта бюджета Грайворонского городского округа на очередной финансовый год и плановый период.</w:t>
      </w:r>
      <w:r/>
    </w:p>
    <w:p>
      <w:pPr>
        <w:pStyle w:val="685"/>
      </w:pPr>
      <w:r/>
      <w:r/>
    </w:p>
    <w:p>
      <w:pPr>
        <w:pStyle w:val="6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Участие органов местного самоуправления</w:t>
      </w:r>
      <w:r/>
    </w:p>
    <w:p>
      <w:pPr>
        <w:pStyle w:val="6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реализации подпрограммы 1</w:t>
      </w:r>
      <w:r/>
    </w:p>
    <w:p>
      <w:pPr>
        <w:pStyle w:val="685"/>
      </w:pPr>
      <w:r/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установленных действующим законодательством полномочий органы местного самоуправления осуществляют деятельность по развитию сети автомобильных дорог местного значения за счет средств местных бюджетов </w:t>
        <w:br/>
        <w:t xml:space="preserve">и местных дорожных фондов.</w:t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реализации данных полномочий органы местного самоуправления разрабатывают местные программы по развитию сети автомобильных дорог местного значения.</w:t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Подпрограмма 1 настоящей муниципальной программы предусматривает оказание финансовой поддержки при исполнении расходных обязательств, возникающих при выполнении органами местного самоуправления своих полномочий.</w:t>
      </w:r>
      <w:r/>
    </w:p>
    <w:p>
      <w:pPr>
        <w:pStyle w:val="685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  <w:t xml:space="preserve">Подпрограмма 2</w:t>
      </w:r>
      <w:r>
        <w:rPr>
          <w:b/>
          <w:sz w:val="28"/>
          <w:szCs w:val="28"/>
        </w:rPr>
        <w:t xml:space="preserve"> </w:t>
      </w:r>
      <w:r/>
    </w:p>
    <w:p>
      <w:pPr>
        <w:pStyle w:val="6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«Совершенствование и развитие транспортной системы Грайворонского городского округа»</w:t>
      </w:r>
      <w:r/>
    </w:p>
    <w:p>
      <w:pPr>
        <w:pStyle w:val="685"/>
        <w:rPr>
          <w:sz w:val="16"/>
          <w:szCs w:val="16"/>
        </w:rPr>
      </w:pPr>
      <w:r>
        <w:rPr>
          <w:sz w:val="16"/>
          <w:szCs w:val="16"/>
        </w:rPr>
      </w:r>
      <w:r/>
    </w:p>
    <w:p>
      <w:pPr>
        <w:pStyle w:val="6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Паспорт</w:t>
      </w:r>
      <w:r>
        <w:rPr>
          <w:b/>
          <w:sz w:val="28"/>
          <w:szCs w:val="28"/>
        </w:rPr>
        <w:t xml:space="preserve"> подпрограммы 2</w:t>
      </w:r>
      <w:r>
        <w:rPr>
          <w:b/>
          <w:sz w:val="28"/>
          <w:szCs w:val="28"/>
        </w:rPr>
        <w:t xml:space="preserve"> </w:t>
      </w:r>
      <w:r/>
    </w:p>
    <w:p>
      <w:pPr>
        <w:pStyle w:val="6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tbl>
      <w:tblPr>
        <w:tblW w:w="9624" w:type="dxa"/>
        <w:tblCellSpacing w:w="5" w:type="dxa"/>
        <w:tblInd w:w="75" w:type="dxa"/>
        <w:tblLayout w:type="fixed"/>
        <w:tblCellMar>
          <w:left w:w="75" w:type="dxa"/>
          <w:top w:w="0" w:type="dxa"/>
          <w:right w:w="75" w:type="dxa"/>
          <w:bottom w:w="0" w:type="dxa"/>
        </w:tblCellMar>
        <w:tblLook w:val="04A0" w:firstRow="1" w:lastRow="0" w:firstColumn="1" w:lastColumn="0" w:noHBand="0" w:noVBand="1"/>
      </w:tblPr>
      <w:tblGrid>
        <w:gridCol w:w="667"/>
        <w:gridCol w:w="2891"/>
        <w:gridCol w:w="6066"/>
      </w:tblGrid>
      <w:tr>
        <w:trPr>
          <w:tblCellSpacing w:w="5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7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widowControl w:val="o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п/п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57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widowControl w:val="o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Наименование подпрограммы 2</w:t>
            </w:r>
            <w:r/>
          </w:p>
          <w:p>
            <w:pPr>
              <w:pStyle w:val="685"/>
              <w:jc w:val="center"/>
              <w:widowControl w:val="o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«Совершенствование и развитие транспортной системы» </w:t>
            </w:r>
            <w:r/>
          </w:p>
          <w:p>
            <w:pPr>
              <w:pStyle w:val="685"/>
              <w:jc w:val="center"/>
              <w:widowControl w:val="o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(далее - подпрограмма 2)</w:t>
            </w:r>
            <w:r/>
          </w:p>
        </w:tc>
      </w:tr>
      <w:tr>
        <w:trPr>
          <w:tblCellSpacing w:w="5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7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9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Соисполнитель подпрограммы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6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Управление по строительству, транспорту, жилищно-коммунальному хозяйству </w:t>
            </w:r>
            <w:r/>
          </w:p>
          <w:p>
            <w:pPr>
              <w:pStyle w:val="6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 ТЭК администрации Грайворонского городского округа</w:t>
            </w:r>
            <w:r/>
          </w:p>
          <w:p>
            <w:pPr>
              <w:pStyle w:val="6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  <w:p>
            <w:pPr>
              <w:pStyle w:val="6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Грайворонского </w:t>
            </w:r>
            <w:r/>
          </w:p>
          <w:p>
            <w:pPr>
              <w:pStyle w:val="6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городского округа</w:t>
            </w:r>
            <w:r/>
          </w:p>
        </w:tc>
      </w:tr>
      <w:tr>
        <w:trPr>
          <w:tblCellSpacing w:w="5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7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9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Участники подпрограммы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6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Управление по строительству, транспорту, жилищно-коммунальному хозяйству </w:t>
            </w:r>
            <w:r/>
          </w:p>
          <w:p>
            <w:pPr>
              <w:pStyle w:val="6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 ТЭК администрации Грайворонского городского округа</w:t>
            </w:r>
            <w:r/>
          </w:p>
          <w:p>
            <w:pPr>
              <w:pStyle w:val="6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  <w:p>
            <w:pPr>
              <w:pStyle w:val="6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Грайворонского </w:t>
            </w:r>
            <w:r/>
          </w:p>
          <w:p>
            <w:pPr>
              <w:pStyle w:val="6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городского округа</w:t>
            </w:r>
            <w:r/>
          </w:p>
        </w:tc>
      </w:tr>
      <w:tr>
        <w:trPr>
          <w:tblCellSpacing w:w="5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7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9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Цель подпрограммы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6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Создание условий для устойчивого функционирования системы пассажирских перевозок в Грайворонском городском округе</w:t>
            </w:r>
            <w:r/>
          </w:p>
        </w:tc>
      </w:tr>
      <w:tr>
        <w:trPr>
          <w:tblCellSpacing w:w="5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7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9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Задачи подпрограммы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6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Создание условий для организации транспортного обслуживания населения</w:t>
            </w:r>
            <w:r/>
          </w:p>
        </w:tc>
      </w:tr>
      <w:tr>
        <w:trPr>
          <w:tblCellSpacing w:w="5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7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9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Сроки и этапы реализации подпрограммы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6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Подпрограмма 2 реализуется в два этапа:</w:t>
            </w:r>
            <w:r/>
          </w:p>
          <w:p>
            <w:pPr>
              <w:pStyle w:val="685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1-й этап 2015-2020 гг.;</w:t>
            </w:r>
            <w:r/>
          </w:p>
          <w:p>
            <w:pPr>
              <w:pStyle w:val="685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2-й этап 2021-2025 гг.</w:t>
            </w:r>
            <w:r/>
          </w:p>
        </w:tc>
      </w:tr>
      <w:tr>
        <w:trPr>
          <w:tblCellSpacing w:w="5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7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9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Объемы бюджетных ассигнований подпрограммы 2 </w:t>
            </w:r>
            <w:r/>
          </w:p>
          <w:p>
            <w:pPr>
              <w:pStyle w:val="685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счет средств бюджета городского округа </w:t>
            </w:r>
            <w:r/>
          </w:p>
          <w:p>
            <w:pPr>
              <w:pStyle w:val="685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(с расшифровкой плановых объемов бюджетных ассигнований </w:t>
            </w:r>
            <w:r/>
          </w:p>
          <w:p>
            <w:pPr>
              <w:pStyle w:val="685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годам 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685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ее реализации)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6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Объем финансирования подпрограммы </w:t>
            </w: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685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2015-2025 годах за счет всех источников финансирования составит всего </w:t>
            </w:r>
            <w:r/>
          </w:p>
          <w:p>
            <w:pPr>
              <w:pStyle w:val="685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86 702,27 тыс. рублей, в том числе </w:t>
            </w:r>
            <w:r/>
          </w:p>
          <w:p>
            <w:pPr>
              <w:pStyle w:val="685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годам реализации:</w:t>
            </w:r>
            <w:r/>
          </w:p>
          <w:p>
            <w:pPr>
              <w:pStyle w:val="685"/>
              <w:ind w:firstLine="6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2015 год – 4 756,0 тыс. рублей;</w:t>
            </w:r>
            <w:r/>
          </w:p>
          <w:p>
            <w:pPr>
              <w:pStyle w:val="685"/>
              <w:ind w:firstLine="6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2016 год – 4 756,0тыс. рублей;</w:t>
            </w:r>
            <w:r/>
          </w:p>
          <w:p>
            <w:pPr>
              <w:pStyle w:val="685"/>
              <w:ind w:firstLine="6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2017 год – 6 056,0 тыс. рублей;</w:t>
            </w:r>
            <w:r/>
          </w:p>
          <w:p>
            <w:pPr>
              <w:pStyle w:val="685"/>
              <w:ind w:firstLine="6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2018 год – 6 056,0 тыс. рублей;</w:t>
            </w:r>
            <w:r/>
          </w:p>
          <w:p>
            <w:pPr>
              <w:pStyle w:val="685"/>
              <w:ind w:firstLine="6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2019 год – 6 055,9 тыс. рублей;</w:t>
            </w:r>
            <w:r/>
          </w:p>
          <w:p>
            <w:pPr>
              <w:pStyle w:val="685"/>
              <w:ind w:firstLine="620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2020 год – 7 300,0 тыс. рублей;</w:t>
            </w:r>
            <w:r/>
          </w:p>
          <w:p>
            <w:pPr>
              <w:pStyle w:val="685"/>
              <w:ind w:firstLine="6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2021 год – 9 304,0 тыс. рублей;</w:t>
            </w:r>
            <w:r/>
          </w:p>
          <w:p>
            <w:pPr>
              <w:pStyle w:val="685"/>
              <w:ind w:firstLine="6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2022 год – 10 878,47 тыс. рублей;</w:t>
            </w:r>
            <w:r/>
          </w:p>
          <w:p>
            <w:pPr>
              <w:pStyle w:val="685"/>
              <w:ind w:firstLine="6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2023 год – 10 513,3 тыс. рублей;</w:t>
            </w:r>
            <w:r/>
          </w:p>
          <w:p>
            <w:pPr>
              <w:pStyle w:val="685"/>
              <w:ind w:firstLine="6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2024 год – 10 513,3 тыс. рублей;</w:t>
            </w:r>
            <w:r/>
          </w:p>
          <w:p>
            <w:pPr>
              <w:pStyle w:val="685"/>
              <w:ind w:firstLine="6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2025 год – 10 513,3 тыс. рублей.</w:t>
            </w:r>
            <w:r/>
          </w:p>
        </w:tc>
      </w:tr>
      <w:tr>
        <w:trPr>
          <w:tblCellSpacing w:w="5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7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9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Конечные результаты подпрограммы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6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Устойчивое функционирование транспортной системы, качественное осуществление пассажирских перевозок и перемещение товаров (грузов)</w:t>
            </w:r>
            <w:r/>
          </w:p>
        </w:tc>
      </w:tr>
    </w:tbl>
    <w:p>
      <w:pPr>
        <w:pStyle w:val="685"/>
      </w:pPr>
      <w:r/>
      <w:r/>
    </w:p>
    <w:p>
      <w:pPr>
        <w:pStyle w:val="6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Характеристика сферы реализации подпрограммы 2, описание</w:t>
      </w:r>
      <w:r/>
    </w:p>
    <w:p>
      <w:pPr>
        <w:pStyle w:val="6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основных проблем в указанной сфере и прогноз ее развития</w:t>
      </w:r>
      <w:r/>
    </w:p>
    <w:p>
      <w:pPr>
        <w:pStyle w:val="685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Пассажирский автомобильный транспорт, являясь наиболее массовым </w:t>
        <w:br/>
        <w:t xml:space="preserve">и самым доступным видом транспорта, связывает населенные пункты Грайворонского городского округа между собой, являясь для большинства </w:t>
        <w:br/>
        <w:t xml:space="preserve">из них единственным видом транспорта.</w:t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последние годы наблюдается снижение пассажиропотока </w:t>
        <w:br/>
        <w:t xml:space="preserve">на автобусных перевозках.</w:t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2013 году автобусами было перевезено 218,1 тыс. человек, в 2014 году - 217,1 тыс. человек, в 2015 году - 139,5 тыс. человек. Пассажирооборот автобусных перевозок за период 2013-2015 годов снижается и составил </w:t>
        <w:br/>
        <w:t xml:space="preserve">2 200,8 тыс. пассажиро-километров.</w:t>
      </w:r>
      <w:r>
        <w:rPr>
          <w:sz w:val="28"/>
          <w:szCs w:val="28"/>
        </w:rPr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Данная ситуация объясняется, сложившейся ситуацией в отношениях между Россией и Украиной, следствием чего стала отмена рейсов Грайворон-Харьков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также повышением автомобилизации населения.</w:t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законом Белгородской области от 14 января 2008 года №183 «О наделении органов местного самоуправления полномочиями </w:t>
        <w:br/>
        <w:t xml:space="preserve">по организации транспортного</w:t>
      </w:r>
      <w:r>
        <w:t xml:space="preserve"> </w:t>
      </w:r>
      <w:r>
        <w:rPr>
          <w:sz w:val="28"/>
          <w:szCs w:val="28"/>
        </w:rPr>
        <w:t xml:space="preserve">обслуживания населения автомобильным транспортом</w:t>
      </w:r>
      <w:r>
        <w:rPr>
          <w:sz w:val="28"/>
          <w:szCs w:val="28"/>
        </w:rPr>
        <w:t xml:space="preserve"> по межмуниципальным маршрутам регулярных перевозок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пригородном сообщении</w:t>
      </w:r>
      <w:r>
        <w:rPr>
          <w:sz w:val="28"/>
          <w:szCs w:val="28"/>
        </w:rPr>
        <w:t xml:space="preserve">» организация транспортного обслуживания населения по маршрутам регулярных перевозок в пригородном сообщении осуществляется администрацией Грайворонского городского округа,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что позволяет рациональнее организовывать мар</w:t>
      </w:r>
      <w:r>
        <w:rPr>
          <w:sz w:val="28"/>
          <w:szCs w:val="28"/>
        </w:rPr>
        <w:t xml:space="preserve">шрутную сеть с учетом муниципальных маршрутов, а также более оперативно и эффективно решать вопросы контроля за осуществлением перевозок по пригородным внутримуниципальным маршрутам, быстрее реагировать на потребности населения в транспортном обслуживании.</w:t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пригородном внутримуниципальном сообщении автобусные перевозки организованы по 11 маршрутам.</w:t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Обслуживание населения автомобильным транспортом осуществляется на основани</w:t>
      </w:r>
      <w:r>
        <w:rPr>
          <w:sz w:val="28"/>
          <w:szCs w:val="28"/>
        </w:rPr>
        <w:t xml:space="preserve">и договора, заключенного на 2023</w:t>
      </w:r>
      <w:r>
        <w:rPr>
          <w:sz w:val="28"/>
          <w:szCs w:val="28"/>
        </w:rPr>
        <w:t xml:space="preserve"> год между администрацией Грайворонского городского округа и ООО «Грайворонское ТП»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</w:t>
        <w:br/>
        <w:t xml:space="preserve">по регулируемому тарифу.</w:t>
      </w:r>
      <w:r/>
    </w:p>
    <w:p>
      <w:pPr>
        <w:pStyle w:val="685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Настоящая подпрограмма</w:t>
      </w:r>
      <w:r>
        <w:rPr>
          <w:sz w:val="28"/>
          <w:szCs w:val="28"/>
        </w:rPr>
        <w:t xml:space="preserve"> 2</w:t>
      </w:r>
      <w:r>
        <w:rPr>
          <w:sz w:val="28"/>
          <w:szCs w:val="28"/>
        </w:rPr>
        <w:t xml:space="preserve"> призвана создать необходимые условия </w:t>
        <w:br/>
        <w:t xml:space="preserve">для организации транспортного обслуживания населения, на территории Грайворонского городского округа.</w:t>
      </w:r>
      <w:r>
        <w:rPr>
          <w:b/>
          <w:sz w:val="28"/>
          <w:szCs w:val="28"/>
        </w:rPr>
      </w:r>
      <w:r/>
    </w:p>
    <w:p>
      <w:pPr>
        <w:pStyle w:val="6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6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Цель, задачи, сроки и этапы реализации подпрограммы 2</w:t>
      </w:r>
      <w:r/>
    </w:p>
    <w:p>
      <w:pPr>
        <w:pStyle w:val="685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Приоритеты в сфере реализации муниципальной программы </w:t>
        <w:br/>
        <w:t xml:space="preserve">и подпрограммы 2 определены в Стратегии социально-экономического развития Грайворонского городского округа на период до 2025 года.</w:t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Исходя из стратегических приоритетов, целью подпрограммы 2 является создание условий для устойчивого функционирования транспортной системы </w:t>
        <w:br/>
        <w:t xml:space="preserve">в части пассажирских перевозок в Грайворонском городском округе.</w:t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достижения указанной цели необходимо решить задачу создания условий для организации транспортного обслуживания населения.</w:t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Сроки реализации подпрограммы 2. Реализуется в два этапа:</w:t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1-й этап 2015-2020 годы;</w:t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2-й этап 2021-2025 годы.</w:t>
      </w:r>
      <w:r/>
    </w:p>
    <w:p>
      <w:pPr>
        <w:pStyle w:val="685"/>
        <w:ind w:firstLine="709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Обоснование выделения системы мероприятий и краткое</w:t>
      </w:r>
      <w:r/>
    </w:p>
    <w:p>
      <w:pPr>
        <w:pStyle w:val="6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описание основных мероприятий подпрограммы 2</w:t>
      </w:r>
      <w:r/>
    </w:p>
    <w:p>
      <w:pPr>
        <w:pStyle w:val="685"/>
        <w:ind w:firstLine="540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Система мероприятий подпрограммы 2 представляет собой комплекс мероприятий, направленных на создание условий по организации транспортного обслуживания населения автомобильным транспортом.</w:t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решения задачи «Создание условий для организации транспортного обслуживания населения» будет реализовано следующее основное мероприятие - дотации на покрытие убытков из средств бюджета Грайворонского городского округа.</w:t>
      </w:r>
      <w:r/>
    </w:p>
    <w:p>
      <w:pPr>
        <w:pStyle w:val="685"/>
        <w:ind w:firstLine="709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Прогноз конечных результатов подпрограммы 2.</w:t>
      </w:r>
      <w:r/>
    </w:p>
    <w:p>
      <w:pPr>
        <w:pStyle w:val="6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Перечень показателей подпрограммы 2</w:t>
      </w:r>
      <w:r/>
    </w:p>
    <w:p>
      <w:pPr>
        <w:pStyle w:val="685"/>
        <w:ind w:firstLine="540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результате реализации основных мероприятий подпрограммы 2 предполагается достижение устойчивого функционирования транспортной системы, качественное осуществление пассажирских перевозок и перемещение товаров (грузов).</w:t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Система основных мероприятий и показателей представлены </w:t>
        <w:br/>
      </w:r>
      <w:r>
        <w:rPr>
          <w:sz w:val="28"/>
          <w:szCs w:val="28"/>
        </w:rPr>
        <w:t xml:space="preserve">в приложении №</w:t>
      </w:r>
      <w:r>
        <w:rPr>
          <w:sz w:val="28"/>
          <w:szCs w:val="28"/>
        </w:rPr>
        <w:t xml:space="preserve">2 к муниципальной программе.</w:t>
      </w:r>
      <w:r/>
    </w:p>
    <w:p>
      <w:pPr>
        <w:pStyle w:val="685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Ресурсное обеспечение подпрограммы 2 (в разрезе главных</w:t>
      </w:r>
      <w:r/>
    </w:p>
    <w:p>
      <w:pPr>
        <w:pStyle w:val="6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распорядителей средств областного бюджета и бюджета городского</w:t>
      </w:r>
      <w:r/>
    </w:p>
    <w:p>
      <w:pPr>
        <w:pStyle w:val="6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округа, основных мероприятий, а также по годам реализации</w:t>
      </w:r>
      <w:r/>
    </w:p>
    <w:p>
      <w:pPr>
        <w:pStyle w:val="6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подпрограммы</w:t>
      </w:r>
      <w:r>
        <w:rPr>
          <w:b/>
          <w:sz w:val="28"/>
          <w:szCs w:val="28"/>
        </w:rPr>
        <w:t xml:space="preserve"> 2</w:t>
      </w:r>
      <w:r>
        <w:rPr>
          <w:b/>
          <w:sz w:val="28"/>
          <w:szCs w:val="28"/>
        </w:rPr>
        <w:t xml:space="preserve">)</w:t>
      </w:r>
      <w:r/>
    </w:p>
    <w:p>
      <w:pPr>
        <w:pStyle w:val="685"/>
        <w:ind w:firstLine="540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8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Общий объем финансовых средств, необходимых для реализации подпрограммы 2, составляет 86 702,27 тыс. рублей, из них за счет средств бюджета городского округа 86 669,87 тыс. рублей.</w:t>
      </w:r>
      <w:r/>
    </w:p>
    <w:p>
      <w:pPr>
        <w:pStyle w:val="685"/>
        <w:ind w:firstLine="709"/>
        <w:jc w:val="both"/>
        <w:tabs>
          <w:tab w:val="left" w:pos="70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Объем финансовых ресурсов из бюджета городского округа </w:t>
        <w:br/>
        <w:t xml:space="preserve">на реализацию подпрограммы 2 составляет 86 669,87 тыс. рублей, в том числе </w:t>
        <w:br/>
        <w:t xml:space="preserve">по годам:</w:t>
      </w:r>
      <w:r/>
    </w:p>
    <w:p>
      <w:pPr>
        <w:pStyle w:val="685"/>
        <w:ind w:firstLine="540"/>
        <w:jc w:val="both"/>
        <w:tabs>
          <w:tab w:val="left" w:pos="709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85"/>
        <w:ind w:firstLine="3119"/>
        <w:tabs>
          <w:tab w:val="left" w:pos="453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2015 год – 4 756,0 тыс. рублей;</w:t>
      </w:r>
      <w:r/>
    </w:p>
    <w:p>
      <w:pPr>
        <w:pStyle w:val="685"/>
        <w:ind w:firstLine="3119"/>
        <w:rPr>
          <w:sz w:val="28"/>
          <w:szCs w:val="28"/>
        </w:rPr>
      </w:pPr>
      <w:r>
        <w:rPr>
          <w:sz w:val="28"/>
          <w:szCs w:val="28"/>
        </w:rPr>
        <w:t xml:space="preserve">2016 год – 4 756,0 тыс. рублей;</w:t>
      </w:r>
      <w:r/>
    </w:p>
    <w:p>
      <w:pPr>
        <w:pStyle w:val="685"/>
        <w:ind w:firstLine="3119"/>
        <w:rPr>
          <w:sz w:val="28"/>
          <w:szCs w:val="28"/>
        </w:rPr>
      </w:pPr>
      <w:r>
        <w:rPr>
          <w:sz w:val="28"/>
          <w:szCs w:val="28"/>
        </w:rPr>
        <w:t xml:space="preserve">2017 год – 6 056,0 тыс. рублей;</w:t>
      </w:r>
      <w:r/>
    </w:p>
    <w:p>
      <w:pPr>
        <w:pStyle w:val="685"/>
        <w:ind w:right="2691" w:firstLine="3119"/>
        <w:rPr>
          <w:sz w:val="28"/>
          <w:szCs w:val="28"/>
        </w:rPr>
      </w:pPr>
      <w:r>
        <w:rPr>
          <w:sz w:val="28"/>
          <w:szCs w:val="28"/>
        </w:rPr>
        <w:t xml:space="preserve">2018 год – 6 056,0 тыс. рублей;</w:t>
      </w:r>
      <w:r/>
    </w:p>
    <w:p>
      <w:pPr>
        <w:pStyle w:val="685"/>
        <w:ind w:firstLine="3119"/>
        <w:rPr>
          <w:sz w:val="28"/>
          <w:szCs w:val="28"/>
        </w:rPr>
      </w:pPr>
      <w:r>
        <w:rPr>
          <w:sz w:val="28"/>
          <w:szCs w:val="28"/>
        </w:rPr>
        <w:t xml:space="preserve">2019 год – 6 055,9 тыс. рублей;</w:t>
      </w:r>
      <w:r/>
    </w:p>
    <w:p>
      <w:pPr>
        <w:pStyle w:val="685"/>
        <w:ind w:firstLine="3119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2020 год – 7 300,0 тыс. рублей;</w:t>
      </w:r>
      <w:r/>
    </w:p>
    <w:p>
      <w:pPr>
        <w:pStyle w:val="685"/>
        <w:ind w:firstLine="3119"/>
        <w:rPr>
          <w:sz w:val="28"/>
          <w:szCs w:val="28"/>
        </w:rPr>
      </w:pPr>
      <w:r>
        <w:rPr>
          <w:sz w:val="28"/>
          <w:szCs w:val="28"/>
        </w:rPr>
        <w:t xml:space="preserve">2021 год – 9 304,0 тыс. рублей;</w:t>
      </w:r>
      <w:r/>
    </w:p>
    <w:p>
      <w:pPr>
        <w:pStyle w:val="685"/>
        <w:ind w:firstLine="3119"/>
        <w:rPr>
          <w:sz w:val="28"/>
          <w:szCs w:val="28"/>
        </w:rPr>
      </w:pPr>
      <w:r>
        <w:rPr>
          <w:sz w:val="28"/>
          <w:szCs w:val="28"/>
        </w:rPr>
        <w:t xml:space="preserve">2022 год – 10 870,37 тыс. рублей;</w:t>
      </w:r>
      <w:r/>
    </w:p>
    <w:p>
      <w:pPr>
        <w:pStyle w:val="685"/>
        <w:ind w:firstLine="3119"/>
        <w:rPr>
          <w:sz w:val="28"/>
          <w:szCs w:val="28"/>
        </w:rPr>
      </w:pPr>
      <w:r>
        <w:rPr>
          <w:sz w:val="28"/>
          <w:szCs w:val="28"/>
        </w:rPr>
        <w:t xml:space="preserve">2023 год – 10 505,2 тыс. рублей;</w:t>
      </w:r>
      <w:r/>
    </w:p>
    <w:p>
      <w:pPr>
        <w:pStyle w:val="685"/>
        <w:ind w:firstLine="3119"/>
        <w:rPr>
          <w:sz w:val="28"/>
          <w:szCs w:val="28"/>
        </w:rPr>
      </w:pPr>
      <w:r>
        <w:rPr>
          <w:sz w:val="28"/>
          <w:szCs w:val="28"/>
        </w:rPr>
        <w:t xml:space="preserve">2024 год – 10 505,2 тыс. рублей;</w:t>
      </w:r>
      <w:r/>
    </w:p>
    <w:p>
      <w:pPr>
        <w:pStyle w:val="685"/>
        <w:ind w:firstLine="3119"/>
        <w:rPr>
          <w:sz w:val="28"/>
          <w:szCs w:val="28"/>
        </w:rPr>
      </w:pPr>
      <w:r>
        <w:rPr>
          <w:sz w:val="28"/>
          <w:szCs w:val="28"/>
        </w:rPr>
        <w:t xml:space="preserve">2025 год – 10 505,2 тыс. рублей.</w:t>
      </w:r>
      <w:r/>
    </w:p>
    <w:p>
      <w:pPr>
        <w:pStyle w:val="685"/>
        <w:ind w:left="709" w:hanging="169"/>
        <w:jc w:val="both"/>
        <w:tabs>
          <w:tab w:val="left" w:pos="540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85"/>
        <w:ind w:firstLine="709"/>
        <w:jc w:val="both"/>
        <w:tabs>
          <w:tab w:val="left" w:pos="54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Ресурсное обеспечение и прогноз</w:t>
      </w:r>
      <w:r>
        <w:rPr>
          <w:sz w:val="28"/>
          <w:szCs w:val="28"/>
        </w:rPr>
        <w:t xml:space="preserve">ная (справочная) оценка расходов </w:t>
        <w:br/>
        <w:t xml:space="preserve">на реализацию мероприятий подпрограммы 2 и ресурсное обеспечение реализации подпрограммы 2 муниципальной программы за счет средств бюджета городского округа по годам представлены в приложении №3 </w:t>
        <w:br/>
        <w:t xml:space="preserve">к муниципальной программе.</w:t>
      </w:r>
      <w:r/>
    </w:p>
    <w:p>
      <w:pPr>
        <w:pStyle w:val="685"/>
        <w:ind w:firstLine="709"/>
        <w:jc w:val="both"/>
        <w:tabs>
          <w:tab w:val="left" w:pos="540" w:leader="none"/>
        </w:tabs>
        <w:rPr>
          <w:sz w:val="28"/>
          <w:szCs w:val="28"/>
        </w:rPr>
      </w:pPr>
      <w:r/>
      <w:bookmarkStart w:id="0" w:name="_GoBack"/>
      <w:r/>
      <w:bookmarkEnd w:id="0"/>
      <w:r>
        <w:rPr>
          <w:sz w:val="28"/>
          <w:szCs w:val="28"/>
        </w:rPr>
        <w:t xml:space="preserve">Объем финансового обеспечения подпрограммы 2 подлежит ежегодному уточнению в рамках подготовки проекта бюджета городского округа </w:t>
        <w:br/>
        <w:t xml:space="preserve">на очередной финансовый год и плановый период.</w:t>
      </w:r>
      <w:r/>
    </w:p>
    <w:p>
      <w:pPr>
        <w:pStyle w:val="685"/>
        <w:ind w:left="5245"/>
        <w:jc w:val="center"/>
        <w:rPr>
          <w:b/>
          <w:sz w:val="28"/>
          <w:szCs w:val="28"/>
        </w:rPr>
      </w:pPr>
      <w:r>
        <w:rPr>
          <w:b/>
          <w:color w:val="FF0000"/>
          <w:sz w:val="28"/>
          <w:szCs w:val="28"/>
        </w:rPr>
        <w:br w:type="page"/>
      </w:r>
      <w:r>
        <w:rPr>
          <w:b/>
          <w:sz w:val="28"/>
          <w:szCs w:val="28"/>
        </w:rPr>
        <w:t xml:space="preserve">Приложение № 1</w:t>
      </w:r>
      <w:r/>
    </w:p>
    <w:p>
      <w:pPr>
        <w:pStyle w:val="685"/>
        <w:ind w:left="524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 муниципальной программе </w:t>
      </w:r>
      <w:r/>
    </w:p>
    <w:p>
      <w:pPr>
        <w:pStyle w:val="685"/>
        <w:ind w:left="524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Грайворонского городского округа «Совершенствование </w:t>
      </w:r>
      <w:r>
        <w:rPr>
          <w:b/>
          <w:sz w:val="28"/>
          <w:szCs w:val="28"/>
        </w:rPr>
      </w:r>
      <w:r/>
    </w:p>
    <w:p>
      <w:pPr>
        <w:pStyle w:val="685"/>
        <w:ind w:left="524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развитие транспортной системы и дорожной сети Грайворонского городского округа»</w:t>
      </w:r>
      <w:r>
        <w:rPr>
          <w:b/>
          <w:sz w:val="28"/>
          <w:szCs w:val="28"/>
        </w:rPr>
      </w:r>
      <w:r/>
    </w:p>
    <w:p>
      <w:pPr>
        <w:pStyle w:val="70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/>
    </w:p>
    <w:p>
      <w:pPr>
        <w:pStyle w:val="70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/>
    </w:p>
    <w:p>
      <w:pPr>
        <w:pStyle w:val="70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/>
    </w:p>
    <w:p>
      <w:pPr>
        <w:pStyle w:val="70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/>
    </w:p>
    <w:p>
      <w:pPr>
        <w:pStyle w:val="70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ОСНОВНЫЕ МЕРЫ</w:t>
      </w:r>
      <w:r>
        <w:rPr>
          <w:rFonts w:ascii="Times New Roman" w:hAnsi="Times New Roman"/>
          <w:b/>
          <w:sz w:val="28"/>
          <w:szCs w:val="28"/>
        </w:rPr>
      </w:r>
      <w:r/>
    </w:p>
    <w:p>
      <w:pPr>
        <w:pStyle w:val="70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правового регулирования в сфере реализации муниципальной программы</w:t>
      </w:r>
      <w:r>
        <w:rPr>
          <w:rFonts w:ascii="Times New Roman" w:hAnsi="Times New Roman"/>
          <w:b/>
          <w:sz w:val="28"/>
          <w:szCs w:val="28"/>
        </w:rPr>
      </w:r>
      <w:r/>
    </w:p>
    <w:p>
      <w:pPr>
        <w:pStyle w:val="70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/>
    </w:p>
    <w:p>
      <w:pPr>
        <w:pStyle w:val="70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/>
    </w:p>
    <w:p>
      <w:pPr>
        <w:pStyle w:val="707"/>
        <w:rPr>
          <w:rFonts w:ascii="Times New Roman" w:hAnsi="Times New Roman"/>
          <w:sz w:val="10"/>
          <w:szCs w:val="10"/>
        </w:rPr>
      </w:pPr>
      <w:r>
        <w:rPr>
          <w:rFonts w:ascii="Times New Roman" w:hAnsi="Times New Roman"/>
          <w:sz w:val="10"/>
          <w:szCs w:val="10"/>
        </w:rPr>
      </w:r>
      <w:r/>
    </w:p>
    <w:tbl>
      <w:tblPr>
        <w:tblW w:w="9356" w:type="dxa"/>
        <w:tblInd w:w="6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2693"/>
        <w:gridCol w:w="2126"/>
        <w:gridCol w:w="1985"/>
      </w:tblGrid>
      <w:tr>
        <w:trPr/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п/п</w:t>
            </w:r>
            <w:r/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Вид нормативного правового акта</w:t>
            </w:r>
            <w:r/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Основные положения нормативного правового акта</w:t>
            </w:r>
            <w:r/>
          </w:p>
        </w:tc>
        <w:tc>
          <w:tcPr>
            <w:tcW w:w="212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Ответственный исполнитель </w:t>
            </w:r>
            <w:r/>
          </w:p>
          <w:p>
            <w:pPr>
              <w:pStyle w:val="70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 соисполнители</w:t>
            </w:r>
            <w:r/>
          </w:p>
        </w:tc>
        <w:tc>
          <w:tcPr>
            <w:tcW w:w="1985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Ожидаемые сроки принятия</w:t>
            </w:r>
            <w:r/>
          </w:p>
        </w:tc>
      </w:tr>
      <w:tr>
        <w:trPr/>
        <w:tc>
          <w:tcPr>
            <w:gridSpan w:val="5"/>
            <w:tcW w:w="9356" w:type="dxa"/>
            <w:vAlign w:val="top"/>
            <w:textDirection w:val="lrTb"/>
            <w:noWrap w:val="false"/>
          </w:tcPr>
          <w:p>
            <w:pPr>
              <w:pStyle w:val="70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Муниципальная программа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Грайворонского городского округа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«Совершенствование и развитие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транспортной системы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дорожной сети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Грайворонского городского округа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»</w:t>
            </w:r>
            <w:r/>
          </w:p>
        </w:tc>
      </w:tr>
      <w:tr>
        <w:trPr/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Решение </w:t>
            </w:r>
            <w:r>
              <w:rPr>
                <w:sz w:val="24"/>
                <w:szCs w:val="24"/>
              </w:rPr>
            </w:r>
            <w:r/>
          </w:p>
          <w:p>
            <w:pPr>
              <w:pStyle w:val="685"/>
              <w:jc w:val="center"/>
              <w:spacing w:before="10" w:after="10"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Совета депутатов Грайворонского городского округа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бюджете Грайворонского городского округа </w:t>
            </w:r>
            <w:r>
              <w:rPr>
                <w:sz w:val="24"/>
                <w:szCs w:val="24"/>
              </w:rPr>
            </w:r>
            <w:r/>
          </w:p>
          <w:p>
            <w:pPr>
              <w:pStyle w:val="685"/>
              <w:jc w:val="center"/>
              <w:spacing w:before="10" w:after="10"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очередной финансовый год </w:t>
            </w:r>
            <w:r>
              <w:rPr>
                <w:sz w:val="24"/>
                <w:szCs w:val="24"/>
              </w:rPr>
            </w:r>
            <w:r/>
          </w:p>
          <w:p>
            <w:pPr>
              <w:pStyle w:val="685"/>
              <w:jc w:val="center"/>
              <w:spacing w:before="10" w:after="10"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 плановый период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212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Грайворонского городского округ</w:t>
            </w:r>
            <w:r>
              <w:rPr>
                <w:sz w:val="24"/>
                <w:szCs w:val="24"/>
              </w:rPr>
              <w:t xml:space="preserve">а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1985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2015-2025 годы </w:t>
            </w:r>
            <w:r/>
          </w:p>
          <w:p>
            <w:pPr>
              <w:pStyle w:val="685"/>
              <w:jc w:val="center"/>
              <w:spacing w:before="10" w:after="10"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(по мере необходимости)</w:t>
            </w:r>
            <w:r/>
          </w:p>
        </w:tc>
      </w:tr>
      <w:tr>
        <w:trPr/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администрации Грайворонского городского округа </w:t>
            </w:r>
            <w:r/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дорожном фонде Грайворонского городского округа Белгородской области</w:t>
            </w:r>
            <w:r/>
          </w:p>
        </w:tc>
        <w:tc>
          <w:tcPr>
            <w:tcW w:w="212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Грайворонского городского округа</w:t>
            </w:r>
            <w:r/>
          </w:p>
        </w:tc>
        <w:tc>
          <w:tcPr>
            <w:tcW w:w="1985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2015-2025 годы </w:t>
            </w:r>
            <w:r/>
          </w:p>
          <w:p>
            <w:pPr>
              <w:pStyle w:val="685"/>
              <w:jc w:val="center"/>
              <w:spacing w:before="10" w:after="10"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(по мере необходимости)</w:t>
            </w:r>
            <w:r/>
          </w:p>
        </w:tc>
      </w:tr>
    </w:tbl>
    <w:p>
      <w:pPr>
        <w:pStyle w:val="707"/>
        <w:rPr>
          <w:rFonts w:ascii="Times New Roman" w:hAnsi="Times New Roman"/>
        </w:rPr>
        <w:sectPr>
          <w:headerReference w:type="default" r:id="rId8"/>
          <w:headerReference w:type="even" r:id="rId9"/>
          <w:footnotePr/>
          <w:endnotePr/>
          <w:type w:val="nextPage"/>
          <w:pgSz w:w="11906" w:h="16838" w:orient="portrait"/>
          <w:pgMar w:top="285" w:right="567" w:bottom="993" w:left="1701" w:header="709" w:footer="709" w:gutter="0"/>
          <w:cols w:num="1" w:sep="0" w:space="708" w:equalWidth="1"/>
          <w:docGrid w:linePitch="360"/>
          <w:titlePg/>
        </w:sectPr>
        <w:outlineLvl w:val="2"/>
      </w:pPr>
      <w:r>
        <w:rPr>
          <w:rFonts w:ascii="Times New Roman" w:hAnsi="Times New Roman"/>
        </w:rPr>
      </w:r>
      <w:r/>
    </w:p>
    <w:p>
      <w:pPr>
        <w:pStyle w:val="685"/>
        <w:ind w:left="935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Приложение №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2</w:t>
      </w:r>
      <w:r/>
    </w:p>
    <w:p>
      <w:pPr>
        <w:pStyle w:val="685"/>
        <w:ind w:left="935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 муниципальной программе </w:t>
      </w:r>
      <w:r>
        <w:rPr>
          <w:b/>
          <w:sz w:val="28"/>
          <w:szCs w:val="28"/>
        </w:rPr>
        <w:t xml:space="preserve">Грайворонского городского округа</w:t>
      </w:r>
      <w:r>
        <w:rPr>
          <w:b/>
          <w:sz w:val="28"/>
          <w:szCs w:val="28"/>
        </w:rPr>
      </w:r>
      <w:r/>
    </w:p>
    <w:p>
      <w:pPr>
        <w:pStyle w:val="685"/>
        <w:ind w:left="9356"/>
        <w:jc w:val="center"/>
        <w:tabs>
          <w:tab w:val="left" w:pos="312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«Совершенствование и развитие транспортной системы и дорожной сети Грайворонского городского округа»</w:t>
      </w:r>
      <w:r/>
    </w:p>
    <w:p>
      <w:pPr>
        <w:pStyle w:val="707"/>
        <w:rPr>
          <w:rFonts w:ascii="Times New Roman" w:hAnsi="Times New Roman"/>
          <w:sz w:val="28"/>
          <w:szCs w:val="28"/>
        </w:rPr>
        <w:outlineLvl w:val="2"/>
      </w:pPr>
      <w:r>
        <w:rPr>
          <w:rFonts w:ascii="Times New Roman" w:hAnsi="Times New Roman"/>
          <w:sz w:val="28"/>
          <w:szCs w:val="28"/>
        </w:rPr>
      </w:r>
      <w:r/>
    </w:p>
    <w:p>
      <w:pPr>
        <w:pStyle w:val="707"/>
        <w:jc w:val="center"/>
        <w:spacing w:before="10" w:after="10" w:line="24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СИСТЕМА ОСНОВНЫХ МЕРОПРИЯТИЙ И ПОКАЗАТЕЛЕЙ </w:t>
      </w:r>
      <w:r>
        <w:rPr>
          <w:rFonts w:ascii="Times New Roman" w:hAnsi="Times New Roman"/>
          <w:b/>
          <w:sz w:val="28"/>
          <w:szCs w:val="28"/>
        </w:rPr>
      </w:r>
      <w:r/>
    </w:p>
    <w:p>
      <w:pPr>
        <w:pStyle w:val="707"/>
        <w:jc w:val="center"/>
        <w:spacing w:before="10" w:after="10" w:line="24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муниципальной программы</w:t>
      </w:r>
      <w:r>
        <w:rPr>
          <w:rFonts w:ascii="Times New Roman" w:hAnsi="Times New Roman"/>
          <w:b/>
          <w:sz w:val="28"/>
          <w:szCs w:val="28"/>
        </w:rPr>
        <w:t xml:space="preserve"> Грайворонского городского округа</w:t>
      </w:r>
      <w:r>
        <w:rPr>
          <w:rFonts w:ascii="Times New Roman" w:hAnsi="Times New Roman"/>
          <w:b/>
          <w:sz w:val="28"/>
          <w:szCs w:val="28"/>
        </w:rPr>
      </w:r>
      <w:r/>
    </w:p>
    <w:p>
      <w:pPr>
        <w:pStyle w:val="707"/>
        <w:jc w:val="center"/>
        <w:spacing w:before="10" w:after="10" w:line="24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«Совершенствование и развитие транспортной системы и дорожной сети </w:t>
      </w:r>
      <w:r/>
    </w:p>
    <w:p>
      <w:pPr>
        <w:pStyle w:val="707"/>
        <w:jc w:val="center"/>
        <w:spacing w:before="10" w:after="10" w:line="24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Грайворонского городского округа» </w:t>
      </w:r>
      <w:r/>
    </w:p>
    <w:p>
      <w:pPr>
        <w:pStyle w:val="707"/>
        <w:jc w:val="center"/>
        <w:spacing w:before="10" w:after="10" w:line="24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1-м этапе реализации</w:t>
      </w:r>
      <w:r/>
    </w:p>
    <w:p>
      <w:pPr>
        <w:pStyle w:val="707"/>
        <w:ind w:right="-142"/>
        <w:jc w:val="right"/>
        <w:spacing w:before="10" w:after="10" w:line="24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Таблица № 1</w:t>
      </w:r>
      <w:r/>
    </w:p>
    <w:p>
      <w:pPr>
        <w:pStyle w:val="707"/>
        <w:ind w:firstLine="540"/>
        <w:jc w:val="both"/>
        <w:spacing w:before="10" w:after="10" w:line="24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tbl>
      <w:tblPr>
        <w:tblW w:w="15177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426"/>
        <w:gridCol w:w="1996"/>
        <w:gridCol w:w="2126"/>
        <w:gridCol w:w="1276"/>
        <w:gridCol w:w="1215"/>
        <w:gridCol w:w="2470"/>
        <w:gridCol w:w="992"/>
        <w:gridCol w:w="933"/>
        <w:gridCol w:w="956"/>
        <w:gridCol w:w="944"/>
        <w:gridCol w:w="993"/>
        <w:gridCol w:w="850"/>
      </w:tblGrid>
      <w:tr>
        <w:trPr>
          <w:cantSplit/>
          <w:tblHeader/>
        </w:trPr>
        <w:tc>
          <w:tcPr>
            <w:tcW w:w="426" w:type="dxa"/>
            <w:vAlign w:val="center"/>
            <w:vMerge w:val="restart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№ п/п</w:t>
            </w:r>
            <w:r/>
          </w:p>
        </w:tc>
        <w:tc>
          <w:tcPr>
            <w:tcW w:w="1996" w:type="dxa"/>
            <w:vAlign w:val="center"/>
            <w:vMerge w:val="restart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Наименование муниципальной программы, подпрограмм, мероприятий</w:t>
            </w:r>
            <w:r/>
          </w:p>
        </w:tc>
        <w:tc>
          <w:tcPr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Ответственный исполнитель (соисполнитель, участник), ответственный 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за реализацию</w:t>
            </w:r>
            <w:r/>
          </w:p>
        </w:tc>
        <w:tc>
          <w:tcP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Срок реализации (начало, завершение)</w:t>
            </w:r>
            <w:r/>
          </w:p>
        </w:tc>
        <w:tc>
          <w:tcPr>
            <w:tcW w:w="1215" w:type="dxa"/>
            <w:vAlign w:val="center"/>
            <w:vMerge w:val="restart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Вид показателя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HYPERLINK \l "P964"</w:instrText>
            </w:r>
            <w:r>
              <w:rPr>
                <w:b/>
              </w:rPr>
              <w:fldChar w:fldCharType="separate"/>
            </w:r>
            <w:r>
              <w:rPr>
                <w:rFonts w:ascii="Times New Roman" w:hAnsi="Times New Roman"/>
                <w:b/>
              </w:rPr>
              <w:t xml:space="preserve">&lt;2&gt;</w:t>
            </w:r>
            <w:r>
              <w:rPr>
                <w:b/>
              </w:rPr>
              <w:fldChar w:fldCharType="end"/>
            </w:r>
            <w:r>
              <w:rPr>
                <w:rFonts w:ascii="Times New Roman" w:hAnsi="Times New Roman"/>
                <w:b/>
              </w:rPr>
            </w:r>
            <w:r/>
          </w:p>
        </w:tc>
        <w:tc>
          <w:tcPr>
            <w:tcW w:w="2470" w:type="dxa"/>
            <w:vAlign w:val="center"/>
            <w:vMerge w:val="restart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Наименование показателя, единица измерения</w:t>
            </w:r>
            <w:r/>
          </w:p>
        </w:tc>
        <w:tc>
          <w:tcPr>
            <w:gridSpan w:val="6"/>
            <w:tcW w:w="5668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Значение показателя конечного и непосредственного результата по годам реализации</w:t>
            </w:r>
            <w:r/>
          </w:p>
        </w:tc>
      </w:tr>
      <w:tr>
        <w:trPr>
          <w:cantSplit/>
          <w:trHeight w:val="473"/>
          <w:tblHeader/>
        </w:trPr>
        <w:tc>
          <w:tcPr>
            <w:tcW w:w="426" w:type="dxa"/>
            <w:vAlign w:val="center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W w:w="1996" w:type="dxa"/>
            <w:vAlign w:val="center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W w:w="2126" w:type="dxa"/>
            <w:vAlign w:val="center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W w:w="1215" w:type="dxa"/>
            <w:vAlign w:val="center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W w:w="2470" w:type="dxa"/>
            <w:vAlign w:val="center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2015</w:t>
            </w:r>
            <w:r/>
          </w:p>
        </w:tc>
        <w:tc>
          <w:tcPr>
            <w:tcW w:w="933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2016</w:t>
            </w:r>
            <w:r/>
          </w:p>
        </w:tc>
        <w:tc>
          <w:tcPr>
            <w:tcW w:w="95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2017</w:t>
            </w:r>
            <w:r/>
          </w:p>
        </w:tc>
        <w:tc>
          <w:tcPr>
            <w:tcW w:w="944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2018</w:t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2019</w:t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2020</w:t>
            </w:r>
            <w:r/>
          </w:p>
        </w:tc>
      </w:tr>
      <w:tr>
        <w:trPr>
          <w:trHeight w:val="207"/>
        </w:trPr>
        <w:tc>
          <w:tcPr>
            <w:tcW w:w="42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tcW w:w="199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</w:t>
            </w:r>
            <w:r/>
          </w:p>
        </w:tc>
        <w:tc>
          <w:tcPr>
            <w:tcW w:w="212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</w:t>
            </w:r>
            <w:r/>
          </w:p>
        </w:tc>
        <w:tc>
          <w:tcPr>
            <w:tcW w:w="1215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</w:t>
            </w:r>
            <w:r/>
          </w:p>
        </w:tc>
        <w:tc>
          <w:tcPr>
            <w:tcW w:w="2470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</w:t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</w:t>
            </w:r>
            <w:r/>
          </w:p>
        </w:tc>
        <w:tc>
          <w:tcPr>
            <w:tcW w:w="933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</w:t>
            </w:r>
            <w:r/>
          </w:p>
        </w:tc>
        <w:tc>
          <w:tcPr>
            <w:tcW w:w="95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</w:t>
            </w:r>
            <w:r/>
          </w:p>
        </w:tc>
        <w:tc>
          <w:tcPr>
            <w:tcW w:w="944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</w:t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11</w:t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12</w:t>
            </w:r>
            <w:r/>
          </w:p>
        </w:tc>
      </w:tr>
      <w:tr>
        <w:trPr>
          <w:trHeight w:val="242"/>
        </w:trPr>
        <w:tc>
          <w:tcPr>
            <w:tcW w:w="426" w:type="dxa"/>
            <w:vAlign w:val="top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tcW w:w="199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widowControl w:val="off"/>
              <w:rPr>
                <w:b/>
              </w:rPr>
            </w:pPr>
            <w:r>
              <w:rPr>
                <w:b/>
              </w:rPr>
              <w:t xml:space="preserve">Муниципальная программа «Совершенствова-ние и развитие</w:t>
            </w:r>
            <w:r/>
          </w:p>
          <w:p>
            <w:pPr>
              <w:pStyle w:val="685"/>
              <w:jc w:val="center"/>
              <w:spacing w:before="10" w:after="10" w:line="24" w:lineRule="atLeast"/>
              <w:widowControl w:val="off"/>
              <w:rPr>
                <w:b/>
              </w:rPr>
            </w:pPr>
            <w:r>
              <w:rPr>
                <w:b/>
              </w:rPr>
              <w:t xml:space="preserve">транспортной системы</w:t>
            </w:r>
            <w:r/>
          </w:p>
          <w:p>
            <w:pPr>
              <w:pStyle w:val="685"/>
              <w:jc w:val="center"/>
              <w:spacing w:before="10" w:after="10" w:line="24" w:lineRule="atLeast"/>
              <w:widowControl w:val="off"/>
              <w:rPr>
                <w:b/>
              </w:rPr>
            </w:pPr>
            <w:r>
              <w:rPr>
                <w:b/>
              </w:rPr>
              <w:t xml:space="preserve">и дорожной сети Грайворонского городского округа»:</w:t>
            </w:r>
            <w:r/>
          </w:p>
          <w:p>
            <w:pPr>
              <w:pStyle w:val="685"/>
              <w:jc w:val="center"/>
              <w:spacing w:before="10" w:after="10" w:line="24" w:lineRule="atLeast"/>
              <w:widowControl w:val="off"/>
              <w:rPr>
                <w:b/>
              </w:rPr>
            </w:pPr>
            <w:r>
              <w:rPr>
                <w:b/>
              </w:rPr>
              <w:t xml:space="preserve">1-й этап</w:t>
            </w:r>
            <w:r/>
          </w:p>
        </w:tc>
        <w:tc>
          <w:tcPr>
            <w:tcW w:w="212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Управление </w:t>
            </w:r>
            <w:r>
              <w:rPr>
                <w:rFonts w:ascii="Times New Roman" w:hAnsi="Times New Roman"/>
              </w:rPr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строительству, транспорту,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ЖКХ и ТЭК администрации Грайворонского городского округа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2015-2025</w:t>
            </w:r>
            <w:r/>
          </w:p>
        </w:tc>
        <w:tc>
          <w:tcPr>
            <w:tcW w:w="1215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</w:t>
            </w:r>
            <w:r/>
          </w:p>
        </w:tc>
        <w:tc>
          <w:tcPr>
            <w:tcW w:w="2470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widowControl w:val="off"/>
            </w:pPr>
            <w:r>
              <w:t xml:space="preserve">Доля автомобильных дорог местного значения, относящихся к улично-дорожной сети населенных пунктов, соответствующих нормативным требованиям к транспортно-эксплуатационным показателям, в общей протяженности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автомобильных дорог,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процентах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widowControl w:val="off"/>
            </w:pPr>
            <w:r>
              <w:t xml:space="preserve">89</w:t>
            </w:r>
            <w:r/>
          </w:p>
        </w:tc>
        <w:tc>
          <w:tcPr>
            <w:tcW w:w="933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widowControl w:val="off"/>
            </w:pPr>
            <w:r>
              <w:t xml:space="preserve">90</w:t>
            </w:r>
            <w:r/>
          </w:p>
        </w:tc>
        <w:tc>
          <w:tcPr>
            <w:tcW w:w="95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widowControl w:val="off"/>
            </w:pPr>
            <w:r>
              <w:t xml:space="preserve">91</w:t>
            </w:r>
            <w:r/>
          </w:p>
        </w:tc>
        <w:tc>
          <w:tcPr>
            <w:tcW w:w="944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widowControl w:val="off"/>
            </w:pPr>
            <w:r>
              <w:t xml:space="preserve">91</w:t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widowControl w:val="off"/>
            </w:pPr>
            <w:r>
              <w:t xml:space="preserve">91</w:t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widowControl w:val="off"/>
            </w:pPr>
            <w:r>
              <w:t xml:space="preserve">92</w:t>
            </w:r>
            <w:r/>
          </w:p>
        </w:tc>
      </w:tr>
      <w:tr>
        <w:trPr>
          <w:trHeight w:val="1653"/>
        </w:trPr>
        <w:tc>
          <w:tcPr>
            <w:tcW w:w="42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199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12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1215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</w:t>
            </w:r>
            <w:r/>
          </w:p>
        </w:tc>
        <w:tc>
          <w:tcPr>
            <w:tcW w:w="2470" w:type="dxa"/>
            <w:vAlign w:val="center"/>
            <w:textDirection w:val="lrTb"/>
            <w:noWrap w:val="false"/>
          </w:tcPr>
          <w:p>
            <w:pPr>
              <w:pStyle w:val="685"/>
              <w:contextualSpacing/>
              <w:ind w:left="-20"/>
              <w:jc w:val="center"/>
              <w:spacing w:before="10" w:after="10" w:line="24" w:lineRule="atLeast"/>
              <w:tabs>
                <w:tab w:val="left" w:pos="263" w:leader="none"/>
              </w:tabs>
            </w:pPr>
            <w:r>
              <w:t xml:space="preserve">Общая протяженность отремонтированных автодорог местного значения, относящихся</w:t>
            </w:r>
            <w:r/>
          </w:p>
          <w:p>
            <w:pPr>
              <w:pStyle w:val="685"/>
              <w:contextualSpacing/>
              <w:ind w:left="-20"/>
              <w:jc w:val="center"/>
              <w:spacing w:before="10" w:after="10" w:line="24" w:lineRule="atLeast"/>
              <w:tabs>
                <w:tab w:val="left" w:pos="263" w:leader="none"/>
              </w:tabs>
            </w:pPr>
            <w:r>
              <w:t xml:space="preserve">к улично-дорожной сети населенных пунктов городского округа, км</w:t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widowControl w:val="off"/>
            </w:pPr>
            <w:r>
              <w:t xml:space="preserve">3,6</w:t>
            </w:r>
            <w:r/>
          </w:p>
        </w:tc>
        <w:tc>
          <w:tcPr>
            <w:tcW w:w="933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widowControl w:val="off"/>
            </w:pPr>
            <w:r>
              <w:t xml:space="preserve">3,6</w:t>
            </w:r>
            <w:r/>
          </w:p>
        </w:tc>
        <w:tc>
          <w:tcPr>
            <w:tcW w:w="956" w:type="dxa"/>
            <w:vAlign w:val="center"/>
            <w:textDirection w:val="lrTb"/>
            <w:noWrap w:val="false"/>
          </w:tcPr>
          <w:p>
            <w:pPr>
              <w:pStyle w:val="685"/>
              <w:ind w:right="-62"/>
              <w:jc w:val="center"/>
              <w:spacing w:before="10" w:after="10" w:line="24" w:lineRule="atLeast"/>
              <w:widowControl w:val="off"/>
            </w:pPr>
            <w:r>
              <w:t xml:space="preserve">3,7</w:t>
            </w:r>
            <w:r/>
          </w:p>
        </w:tc>
        <w:tc>
          <w:tcPr>
            <w:tcW w:w="944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widowControl w:val="off"/>
            </w:pPr>
            <w:r>
              <w:t xml:space="preserve">4,7</w:t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widowControl w:val="off"/>
              <w:tabs>
                <w:tab w:val="left" w:pos="184" w:leader="none"/>
              </w:tabs>
            </w:pPr>
            <w:r>
              <w:t xml:space="preserve">14,97</w:t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widowControl w:val="off"/>
              <w:tabs>
                <w:tab w:val="left" w:pos="202" w:leader="none"/>
              </w:tabs>
            </w:pPr>
            <w:r>
              <w:t xml:space="preserve">13,57</w:t>
            </w:r>
            <w:r/>
          </w:p>
        </w:tc>
      </w:tr>
      <w:tr>
        <w:trPr>
          <w:trHeight w:val="460"/>
        </w:trPr>
        <w:tc>
          <w:tcPr>
            <w:tcW w:w="42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199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12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1215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</w:t>
            </w:r>
            <w:r/>
          </w:p>
        </w:tc>
        <w:tc>
          <w:tcPr>
            <w:tcW w:w="2470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widowControl w:val="off"/>
            </w:pPr>
            <w:r>
              <w:t xml:space="preserve">Пассажирооборот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транспортом общего пользования, млн. пасс.-км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widowControl w:val="off"/>
            </w:pPr>
            <w:r>
              <w:t xml:space="preserve">1,7</w:t>
            </w:r>
            <w:r/>
          </w:p>
        </w:tc>
        <w:tc>
          <w:tcPr>
            <w:tcW w:w="933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widowControl w:val="off"/>
            </w:pPr>
            <w:r>
              <w:t xml:space="preserve">1,4</w:t>
            </w:r>
            <w:r/>
          </w:p>
        </w:tc>
        <w:tc>
          <w:tcPr>
            <w:tcW w:w="95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1,24</w:t>
            </w:r>
            <w:r/>
          </w:p>
        </w:tc>
        <w:tc>
          <w:tcPr>
            <w:tcW w:w="944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1,31</w:t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1,22</w:t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1,3</w:t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1675"/>
        </w:trPr>
        <w:tc>
          <w:tcPr>
            <w:tcW w:w="42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</w:t>
            </w:r>
            <w:r/>
          </w:p>
        </w:tc>
        <w:tc>
          <w:tcPr>
            <w:tcW w:w="1996" w:type="dxa"/>
            <w:vAlign w:val="center"/>
            <w:textDirection w:val="lrTb"/>
            <w:noWrap w:val="false"/>
          </w:tcPr>
          <w:p>
            <w:pPr>
              <w:pStyle w:val="685"/>
              <w:ind w:left="31" w:right="-30"/>
              <w:jc w:val="center"/>
              <w:spacing w:before="10" w:after="10" w:line="24" w:lineRule="atLeast"/>
              <w:rPr>
                <w:b/>
              </w:rPr>
            </w:pPr>
            <w:r>
              <w:rPr>
                <w:b/>
              </w:rPr>
              <w:t xml:space="preserve">Подпрограмма 1</w:t>
            </w:r>
            <w:r/>
          </w:p>
          <w:p>
            <w:pPr>
              <w:pStyle w:val="685"/>
              <w:ind w:left="31" w:right="-30"/>
              <w:jc w:val="center"/>
              <w:spacing w:before="10" w:after="10" w:line="24" w:lineRule="atLeast"/>
              <w:rPr>
                <w:b/>
              </w:rPr>
            </w:pPr>
            <w:r>
              <w:rPr>
                <w:b/>
              </w:rPr>
              <w:t xml:space="preserve">«Совершенство-вани</w:t>
            </w:r>
            <w:r>
              <w:rPr>
                <w:b/>
              </w:rPr>
              <w:t xml:space="preserve">е и развитие дорожной сети»</w:t>
            </w:r>
            <w:r>
              <w:rPr>
                <w:b/>
              </w:rPr>
            </w:r>
            <w:r/>
          </w:p>
        </w:tc>
        <w:tc>
          <w:tcPr>
            <w:tcW w:w="2126" w:type="dxa"/>
            <w:vAlign w:val="center"/>
            <w:textDirection w:val="lrTb"/>
            <w:noWrap w:val="false"/>
          </w:tcPr>
          <w:p>
            <w:pPr>
              <w:pStyle w:val="685"/>
              <w:ind w:left="31" w:right="-30"/>
              <w:jc w:val="center"/>
              <w:spacing w:before="10" w:after="10" w:line="24" w:lineRule="atLeast"/>
            </w:pPr>
            <w:r>
              <w:t xml:space="preserve">Управление</w:t>
            </w:r>
            <w:r/>
          </w:p>
          <w:p>
            <w:pPr>
              <w:pStyle w:val="685"/>
              <w:ind w:left="31" w:right="-30"/>
              <w:jc w:val="center"/>
              <w:spacing w:before="10" w:after="10" w:line="24" w:lineRule="atLeast"/>
            </w:pPr>
            <w:r>
              <w:t xml:space="preserve">по строительству, транспорту,</w:t>
            </w:r>
            <w:r/>
          </w:p>
          <w:p>
            <w:pPr>
              <w:pStyle w:val="685"/>
              <w:ind w:left="31" w:right="-30"/>
              <w:jc w:val="center"/>
              <w:spacing w:before="10" w:after="10" w:line="24" w:lineRule="atLeast"/>
              <w:rPr>
                <w:b/>
              </w:rPr>
            </w:pPr>
            <w:r>
              <w:t xml:space="preserve">ЖКХ и ТЭК администрации Грайворонского городского округа</w:t>
            </w:r>
            <w:r>
              <w:rPr>
                <w:b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ind w:left="31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2015-2025</w:t>
            </w:r>
            <w:r/>
          </w:p>
        </w:tc>
        <w:tc>
          <w:tcPr>
            <w:tcW w:w="1215" w:type="dxa"/>
            <w:vAlign w:val="center"/>
            <w:textDirection w:val="lrTb"/>
            <w:noWrap w:val="false"/>
          </w:tcPr>
          <w:p>
            <w:pPr>
              <w:pStyle w:val="707"/>
              <w:ind w:left="31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</w:t>
            </w:r>
            <w:r/>
          </w:p>
        </w:tc>
        <w:tc>
          <w:tcPr>
            <w:tcW w:w="2470" w:type="dxa"/>
            <w:vAlign w:val="center"/>
            <w:textDirection w:val="lrTb"/>
            <w:noWrap w:val="false"/>
          </w:tcPr>
          <w:p>
            <w:pPr>
              <w:pStyle w:val="685"/>
              <w:contextualSpacing/>
              <w:ind w:left="31"/>
              <w:jc w:val="center"/>
              <w:spacing w:before="10" w:after="10" w:line="24" w:lineRule="atLeast"/>
              <w:tabs>
                <w:tab w:val="left" w:pos="263" w:leader="none"/>
              </w:tabs>
            </w:pPr>
            <w:r/>
            <w:r/>
          </w:p>
          <w:p>
            <w:pPr>
              <w:pStyle w:val="685"/>
              <w:contextualSpacing/>
              <w:ind w:left="31"/>
              <w:jc w:val="center"/>
              <w:spacing w:before="10" w:after="10" w:line="24" w:lineRule="atLeast"/>
              <w:tabs>
                <w:tab w:val="left" w:pos="263" w:leader="none"/>
              </w:tabs>
            </w:pPr>
            <w:r/>
            <w:r/>
          </w:p>
          <w:p>
            <w:pPr>
              <w:pStyle w:val="685"/>
              <w:contextualSpacing/>
              <w:ind w:left="31"/>
              <w:jc w:val="center"/>
              <w:spacing w:before="10" w:after="10" w:line="24" w:lineRule="atLeast"/>
              <w:tabs>
                <w:tab w:val="left" w:pos="263" w:leader="none"/>
              </w:tabs>
            </w:pPr>
            <w:r/>
            <w:r/>
          </w:p>
          <w:p>
            <w:pPr>
              <w:pStyle w:val="685"/>
              <w:contextualSpacing/>
              <w:ind w:left="31"/>
              <w:jc w:val="center"/>
              <w:spacing w:before="10" w:after="10" w:line="24" w:lineRule="atLeast"/>
              <w:tabs>
                <w:tab w:val="left" w:pos="263" w:leader="none"/>
              </w:tabs>
            </w:pPr>
            <w:r/>
            <w:r/>
          </w:p>
          <w:p>
            <w:pPr>
              <w:pStyle w:val="685"/>
              <w:contextualSpacing/>
              <w:ind w:left="31"/>
              <w:jc w:val="center"/>
              <w:spacing w:before="10" w:after="10" w:line="24" w:lineRule="atLeast"/>
              <w:tabs>
                <w:tab w:val="left" w:pos="263" w:leader="none"/>
              </w:tabs>
            </w:pPr>
            <w:r/>
            <w:r/>
          </w:p>
          <w:p>
            <w:pPr>
              <w:pStyle w:val="685"/>
              <w:contextualSpacing/>
              <w:ind w:left="31"/>
              <w:jc w:val="center"/>
              <w:spacing w:before="10" w:after="10" w:line="24" w:lineRule="atLeast"/>
              <w:tabs>
                <w:tab w:val="left" w:pos="263" w:leader="none"/>
              </w:tabs>
            </w:pPr>
            <w:r/>
            <w:r/>
          </w:p>
          <w:p>
            <w:pPr>
              <w:pStyle w:val="685"/>
              <w:contextualSpacing/>
              <w:ind w:left="31"/>
              <w:jc w:val="center"/>
              <w:spacing w:before="10" w:after="10" w:line="24" w:lineRule="atLeast"/>
              <w:tabs>
                <w:tab w:val="left" w:pos="263" w:leader="none"/>
              </w:tabs>
            </w:pPr>
            <w:r>
              <w:t xml:space="preserve">Общая протяженность отремонтированных автодорог местного значения, относящихся</w:t>
            </w:r>
            <w:r/>
          </w:p>
          <w:p>
            <w:pPr>
              <w:pStyle w:val="685"/>
              <w:contextualSpacing/>
              <w:ind w:left="31"/>
              <w:jc w:val="center"/>
              <w:spacing w:before="10" w:after="10" w:line="24" w:lineRule="atLeast"/>
              <w:tabs>
                <w:tab w:val="left" w:pos="263" w:leader="none"/>
              </w:tabs>
            </w:pPr>
            <w:r>
              <w:t xml:space="preserve">к улично-дорожной сети населенных пунктов городского округа, км</w:t>
            </w:r>
            <w:r/>
          </w:p>
          <w:p>
            <w:pPr>
              <w:pStyle w:val="685"/>
              <w:contextualSpacing/>
              <w:ind w:left="31"/>
              <w:jc w:val="center"/>
              <w:spacing w:before="10" w:after="10" w:line="24" w:lineRule="atLeast"/>
              <w:tabs>
                <w:tab w:val="left" w:pos="263" w:leader="none"/>
              </w:tabs>
            </w:pPr>
            <w:r/>
            <w:r/>
          </w:p>
          <w:p>
            <w:pPr>
              <w:pStyle w:val="685"/>
              <w:contextualSpacing/>
              <w:ind w:left="31"/>
              <w:jc w:val="center"/>
              <w:spacing w:before="10" w:after="10" w:line="24" w:lineRule="atLeast"/>
              <w:tabs>
                <w:tab w:val="left" w:pos="263" w:leader="none"/>
              </w:tabs>
            </w:pPr>
            <w:r/>
            <w:r/>
          </w:p>
          <w:p>
            <w:pPr>
              <w:pStyle w:val="685"/>
              <w:contextualSpacing/>
              <w:ind w:left="31"/>
              <w:jc w:val="center"/>
              <w:spacing w:before="10" w:after="10" w:line="24" w:lineRule="atLeast"/>
              <w:tabs>
                <w:tab w:val="left" w:pos="263" w:leader="none"/>
              </w:tabs>
            </w:pPr>
            <w:r/>
            <w:r/>
          </w:p>
          <w:p>
            <w:pPr>
              <w:pStyle w:val="685"/>
              <w:contextualSpacing/>
              <w:ind w:left="31"/>
              <w:jc w:val="center"/>
              <w:spacing w:before="10" w:after="10" w:line="24" w:lineRule="atLeast"/>
              <w:tabs>
                <w:tab w:val="left" w:pos="263" w:leader="none"/>
              </w:tabs>
            </w:pPr>
            <w:r/>
            <w:r/>
          </w:p>
          <w:p>
            <w:pPr>
              <w:pStyle w:val="685"/>
              <w:contextualSpacing/>
              <w:ind w:left="31"/>
              <w:jc w:val="center"/>
              <w:spacing w:before="10" w:after="10" w:line="24" w:lineRule="atLeast"/>
              <w:tabs>
                <w:tab w:val="left" w:pos="263" w:leader="none"/>
              </w:tabs>
            </w:pPr>
            <w:r/>
            <w:r/>
          </w:p>
          <w:p>
            <w:pPr>
              <w:pStyle w:val="685"/>
              <w:contextualSpacing/>
              <w:ind w:left="31"/>
              <w:jc w:val="center"/>
              <w:spacing w:before="10" w:after="10" w:line="24" w:lineRule="atLeast"/>
              <w:tabs>
                <w:tab w:val="left" w:pos="263" w:leader="none"/>
              </w:tabs>
            </w:pPr>
            <w:r/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pStyle w:val="685"/>
              <w:ind w:left="31"/>
              <w:jc w:val="center"/>
              <w:spacing w:before="10" w:after="10" w:line="24" w:lineRule="atLeast"/>
              <w:widowControl w:val="off"/>
            </w:pPr>
            <w:r>
              <w:t xml:space="preserve">3,6</w:t>
            </w:r>
            <w:r/>
          </w:p>
        </w:tc>
        <w:tc>
          <w:tcPr>
            <w:tcW w:w="933" w:type="dxa"/>
            <w:vAlign w:val="center"/>
            <w:textDirection w:val="lrTb"/>
            <w:noWrap w:val="false"/>
          </w:tcPr>
          <w:p>
            <w:pPr>
              <w:pStyle w:val="685"/>
              <w:ind w:left="31"/>
              <w:jc w:val="center"/>
              <w:spacing w:before="10" w:after="10" w:line="24" w:lineRule="atLeast"/>
              <w:widowControl w:val="off"/>
            </w:pPr>
            <w:r>
              <w:t xml:space="preserve">3,6</w:t>
            </w:r>
            <w:r/>
          </w:p>
        </w:tc>
        <w:tc>
          <w:tcPr>
            <w:tcW w:w="956" w:type="dxa"/>
            <w:vAlign w:val="center"/>
            <w:textDirection w:val="lrTb"/>
            <w:noWrap w:val="false"/>
          </w:tcPr>
          <w:p>
            <w:pPr>
              <w:pStyle w:val="685"/>
              <w:ind w:left="31"/>
              <w:jc w:val="center"/>
              <w:spacing w:before="10" w:after="10" w:line="24" w:lineRule="atLeast"/>
              <w:widowControl w:val="off"/>
            </w:pPr>
            <w:r>
              <w:t xml:space="preserve">3,7</w:t>
            </w:r>
            <w:r/>
          </w:p>
        </w:tc>
        <w:tc>
          <w:tcPr>
            <w:tcW w:w="944" w:type="dxa"/>
            <w:vAlign w:val="center"/>
            <w:textDirection w:val="lrTb"/>
            <w:noWrap w:val="false"/>
          </w:tcPr>
          <w:p>
            <w:pPr>
              <w:pStyle w:val="685"/>
              <w:ind w:left="31"/>
              <w:jc w:val="center"/>
              <w:spacing w:before="10" w:after="10" w:line="24" w:lineRule="atLeast"/>
              <w:widowControl w:val="off"/>
            </w:pPr>
            <w:r>
              <w:t xml:space="preserve">4,7</w:t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685"/>
              <w:ind w:left="31"/>
              <w:jc w:val="center"/>
              <w:spacing w:before="10" w:after="10" w:line="24" w:lineRule="atLeast"/>
              <w:widowControl w:val="off"/>
              <w:tabs>
                <w:tab w:val="left" w:pos="184" w:leader="none"/>
              </w:tabs>
            </w:pPr>
            <w:r>
              <w:t xml:space="preserve">14,97</w:t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685"/>
              <w:ind w:left="31"/>
              <w:jc w:val="center"/>
              <w:spacing w:before="10" w:after="10" w:line="24" w:lineRule="atLeast"/>
              <w:widowControl w:val="off"/>
              <w:tabs>
                <w:tab w:val="left" w:pos="202" w:leader="none"/>
              </w:tabs>
            </w:pPr>
            <w:r>
              <w:t xml:space="preserve">13,57</w:t>
            </w:r>
            <w:r/>
          </w:p>
        </w:tc>
      </w:tr>
      <w:tr>
        <w:trPr>
          <w:trHeight w:val="625"/>
        </w:trPr>
        <w:tc>
          <w:tcPr>
            <w:gridSpan w:val="12"/>
            <w:tcW w:w="15177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widowControl w:val="off"/>
              <w:tabs>
                <w:tab w:val="left" w:pos="202" w:leader="none"/>
              </w:tabs>
            </w:pPr>
            <w:r>
              <w:rPr>
                <w:b/>
              </w:rPr>
              <w:t xml:space="preserve">Задача 1. С</w:t>
            </w:r>
            <w:r>
              <w:rPr>
                <w:b/>
              </w:rPr>
              <w:t xml:space="preserve">охранность и развитие автодорог местного значения, относящихся к улично-дорожной сети населённых пунктов городского округа, в соответствии </w:t>
              <w:br/>
              <w:t xml:space="preserve">с темпами экономического развития городского округа, ростом уровня автомобилизации и объёмов автомобильных перевозок</w:t>
            </w:r>
            <w:r/>
          </w:p>
        </w:tc>
      </w:tr>
      <w:tr>
        <w:trPr>
          <w:trHeight w:val="2604"/>
        </w:trPr>
        <w:tc>
          <w:tcPr>
            <w:tcW w:w="42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</w:t>
            </w:r>
            <w:r/>
          </w:p>
        </w:tc>
        <w:tc>
          <w:tcPr>
            <w:tcW w:w="199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widowControl w:val="off"/>
            </w:pPr>
            <w:r>
              <w:t xml:space="preserve">Основное       мероприятие 1.1.</w:t>
            </w:r>
            <w:r/>
          </w:p>
          <w:p>
            <w:pPr>
              <w:pStyle w:val="685"/>
              <w:jc w:val="center"/>
              <w:spacing w:before="10" w:after="10" w:line="24" w:lineRule="atLeast"/>
              <w:widowControl w:val="off"/>
            </w:pPr>
            <w:r>
              <w:t xml:space="preserve">«Содержание</w:t>
            </w:r>
            <w:r/>
          </w:p>
          <w:p>
            <w:pPr>
              <w:pStyle w:val="685"/>
              <w:jc w:val="center"/>
              <w:spacing w:before="10" w:after="10" w:line="24" w:lineRule="atLeast"/>
              <w:widowControl w:val="off"/>
            </w:pPr>
            <w:r>
              <w:t xml:space="preserve">и ремонт автомобильных дорог местного значения</w:t>
            </w:r>
            <w:r/>
          </w:p>
          <w:p>
            <w:pPr>
              <w:pStyle w:val="685"/>
              <w:jc w:val="center"/>
              <w:spacing w:before="10" w:after="10" w:line="24" w:lineRule="atLeast"/>
              <w:widowControl w:val="off"/>
            </w:pPr>
            <w:r>
              <w:t xml:space="preserve">и искусственных сооружений на них, относящихся</w:t>
            </w:r>
            <w:r/>
          </w:p>
          <w:p>
            <w:pPr>
              <w:pStyle w:val="685"/>
              <w:jc w:val="center"/>
              <w:spacing w:before="10" w:after="10" w:line="24" w:lineRule="atLeast"/>
              <w:widowControl w:val="off"/>
            </w:pPr>
            <w:r>
              <w:t xml:space="preserve">к улично-дорожной сети населенных пунктов городского округа»</w:t>
            </w:r>
            <w:r/>
          </w:p>
        </w:tc>
        <w:tc>
          <w:tcPr>
            <w:tcW w:w="212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Управление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строительству, транспорту,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ЖКХ и ТЭК администрации Грайворонского городского округа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2015-2025</w:t>
            </w:r>
            <w:r/>
          </w:p>
        </w:tc>
        <w:tc>
          <w:tcPr>
            <w:tcW w:w="1215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</w:t>
            </w:r>
            <w:r/>
          </w:p>
        </w:tc>
        <w:tc>
          <w:tcPr>
            <w:tcW w:w="2470" w:type="dxa"/>
            <w:vAlign w:val="center"/>
            <w:textDirection w:val="lrTb"/>
            <w:noWrap w:val="false"/>
          </w:tcPr>
          <w:p>
            <w:pPr>
              <w:pStyle w:val="685"/>
              <w:contextualSpacing/>
              <w:jc w:val="center"/>
              <w:spacing w:before="10" w:after="10" w:line="24" w:lineRule="atLeast"/>
              <w:tabs>
                <w:tab w:val="left" w:pos="263" w:leader="none"/>
              </w:tabs>
            </w:pPr>
            <w:r>
              <w:t xml:space="preserve">Общая протяженность отремонтированных автодорог местного значения, относящихся</w:t>
            </w:r>
            <w:r/>
          </w:p>
          <w:p>
            <w:pPr>
              <w:pStyle w:val="685"/>
              <w:contextualSpacing/>
              <w:jc w:val="center"/>
              <w:spacing w:before="10" w:after="10" w:line="24" w:lineRule="atLeast"/>
              <w:tabs>
                <w:tab w:val="left" w:pos="263" w:leader="none"/>
              </w:tabs>
            </w:pPr>
            <w:r>
              <w:t xml:space="preserve">к улично-дорожной сети населенных пунктов городского округа, км</w:t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widowControl w:val="off"/>
            </w:pPr>
            <w:r>
              <w:t xml:space="preserve">3,6</w:t>
            </w:r>
            <w:r/>
          </w:p>
        </w:tc>
        <w:tc>
          <w:tcPr>
            <w:tcW w:w="933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widowControl w:val="off"/>
            </w:pPr>
            <w:r>
              <w:t xml:space="preserve">3,6</w:t>
            </w:r>
            <w:r/>
          </w:p>
        </w:tc>
        <w:tc>
          <w:tcPr>
            <w:tcW w:w="95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widowControl w:val="off"/>
            </w:pPr>
            <w:r>
              <w:t xml:space="preserve">3,7</w:t>
            </w:r>
            <w:r/>
          </w:p>
        </w:tc>
        <w:tc>
          <w:tcPr>
            <w:tcW w:w="944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widowControl w:val="off"/>
            </w:pPr>
            <w:r>
              <w:t xml:space="preserve">4,7</w:t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widowControl w:val="off"/>
              <w:tabs>
                <w:tab w:val="left" w:pos="184" w:leader="none"/>
              </w:tabs>
            </w:pPr>
            <w:r>
              <w:t xml:space="preserve">14,97</w:t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widowControl w:val="off"/>
              <w:tabs>
                <w:tab w:val="left" w:pos="202" w:leader="none"/>
              </w:tabs>
            </w:pPr>
            <w:r>
              <w:t xml:space="preserve">13,57</w:t>
            </w:r>
            <w:r/>
          </w:p>
        </w:tc>
      </w:tr>
      <w:tr>
        <w:trPr>
          <w:trHeight w:val="1335"/>
        </w:trPr>
        <w:tc>
          <w:tcPr>
            <w:tcW w:w="42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</w:t>
            </w:r>
            <w:r/>
          </w:p>
        </w:tc>
        <w:tc>
          <w:tcPr>
            <w:tcW w:w="199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widowControl w:val="off"/>
              <w:rPr>
                <w:b/>
              </w:rPr>
            </w:pPr>
            <w:r>
              <w:rPr>
                <w:b/>
              </w:rPr>
              <w:t xml:space="preserve">Подпрограмма 2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«Совершенство-вание и развитие транспортной системы»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W w:w="212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Администрация Грайворонского городского округа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2015-2025</w:t>
            </w:r>
            <w:r/>
          </w:p>
        </w:tc>
        <w:tc>
          <w:tcPr>
            <w:tcW w:w="1215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</w:t>
            </w:r>
            <w:r/>
          </w:p>
        </w:tc>
        <w:tc>
          <w:tcPr>
            <w:tcW w:w="2470" w:type="dxa"/>
            <w:vAlign w:val="center"/>
            <w:textDirection w:val="lrTb"/>
            <w:noWrap w:val="false"/>
          </w:tcPr>
          <w:p>
            <w:pPr>
              <w:pStyle w:val="685"/>
              <w:contextualSpacing/>
              <w:jc w:val="center"/>
              <w:spacing w:before="10" w:after="10" w:line="24" w:lineRule="atLeast"/>
              <w:tabs>
                <w:tab w:val="left" w:pos="263" w:leader="none"/>
              </w:tabs>
            </w:pPr>
            <w:r/>
            <w:r/>
          </w:p>
          <w:p>
            <w:pPr>
              <w:pStyle w:val="685"/>
              <w:contextualSpacing/>
              <w:jc w:val="center"/>
              <w:spacing w:before="10" w:after="10" w:line="24" w:lineRule="atLeast"/>
              <w:tabs>
                <w:tab w:val="left" w:pos="263" w:leader="none"/>
              </w:tabs>
            </w:pPr>
            <w:r/>
            <w:r/>
          </w:p>
          <w:p>
            <w:pPr>
              <w:pStyle w:val="685"/>
              <w:contextualSpacing/>
              <w:jc w:val="center"/>
              <w:spacing w:before="10" w:after="10" w:line="24" w:lineRule="atLeast"/>
              <w:tabs>
                <w:tab w:val="left" w:pos="263" w:leader="none"/>
              </w:tabs>
            </w:pPr>
            <w:r/>
            <w:r/>
          </w:p>
          <w:p>
            <w:pPr>
              <w:pStyle w:val="685"/>
              <w:contextualSpacing/>
              <w:jc w:val="center"/>
              <w:spacing w:before="10" w:after="10" w:line="24" w:lineRule="atLeast"/>
              <w:tabs>
                <w:tab w:val="left" w:pos="263" w:leader="none"/>
              </w:tabs>
            </w:pPr>
            <w:r/>
            <w:r/>
          </w:p>
          <w:p>
            <w:pPr>
              <w:pStyle w:val="685"/>
              <w:contextualSpacing/>
              <w:jc w:val="center"/>
              <w:spacing w:before="10" w:after="10" w:line="24" w:lineRule="atLeast"/>
              <w:tabs>
                <w:tab w:val="left" w:pos="263" w:leader="none"/>
              </w:tabs>
            </w:pPr>
            <w:r>
              <w:t xml:space="preserve">Пассажирооборот транспортом общего пользования,</w:t>
            </w:r>
            <w:r/>
          </w:p>
          <w:p>
            <w:pPr>
              <w:pStyle w:val="685"/>
              <w:contextualSpacing/>
              <w:jc w:val="center"/>
              <w:spacing w:before="10" w:after="10" w:line="24" w:lineRule="atLeast"/>
              <w:tabs>
                <w:tab w:val="left" w:pos="263" w:leader="none"/>
              </w:tabs>
            </w:pPr>
            <w:r>
              <w:t xml:space="preserve">млн. пасс.-км</w:t>
            </w:r>
            <w:r/>
          </w:p>
          <w:p>
            <w:pPr>
              <w:pStyle w:val="685"/>
              <w:contextualSpacing/>
              <w:jc w:val="center"/>
              <w:spacing w:before="10" w:after="10" w:line="24" w:lineRule="atLeast"/>
              <w:tabs>
                <w:tab w:val="left" w:pos="263" w:leader="none"/>
              </w:tabs>
            </w:pPr>
            <w:r/>
            <w:r/>
          </w:p>
          <w:p>
            <w:pPr>
              <w:pStyle w:val="685"/>
              <w:contextualSpacing/>
              <w:jc w:val="center"/>
              <w:spacing w:before="10" w:after="10" w:line="24" w:lineRule="atLeast"/>
              <w:tabs>
                <w:tab w:val="left" w:pos="263" w:leader="none"/>
              </w:tabs>
            </w:pPr>
            <w:r/>
            <w:r/>
          </w:p>
          <w:p>
            <w:pPr>
              <w:pStyle w:val="685"/>
              <w:contextualSpacing/>
              <w:jc w:val="center"/>
              <w:spacing w:before="10" w:after="10" w:line="24" w:lineRule="atLeast"/>
              <w:tabs>
                <w:tab w:val="left" w:pos="263" w:leader="none"/>
              </w:tabs>
            </w:pPr>
            <w:r/>
            <w:r/>
          </w:p>
          <w:p>
            <w:pPr>
              <w:pStyle w:val="685"/>
              <w:contextualSpacing/>
              <w:jc w:val="center"/>
              <w:spacing w:before="10" w:after="10" w:line="24" w:lineRule="atLeast"/>
              <w:tabs>
                <w:tab w:val="left" w:pos="263" w:leader="none"/>
              </w:tabs>
            </w:pPr>
            <w:r/>
            <w:r/>
          </w:p>
          <w:p>
            <w:pPr>
              <w:pStyle w:val="685"/>
              <w:contextualSpacing/>
              <w:jc w:val="center"/>
              <w:spacing w:before="10" w:after="10" w:line="24" w:lineRule="atLeast"/>
              <w:tabs>
                <w:tab w:val="left" w:pos="263" w:leader="none"/>
              </w:tabs>
            </w:pPr>
            <w:r/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widowControl w:val="off"/>
            </w:pPr>
            <w:r>
              <w:t xml:space="preserve">1,7</w:t>
            </w:r>
            <w:r/>
          </w:p>
        </w:tc>
        <w:tc>
          <w:tcPr>
            <w:tcW w:w="933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widowControl w:val="off"/>
            </w:pPr>
            <w:r>
              <w:t xml:space="preserve">1,4</w:t>
            </w:r>
            <w:r/>
          </w:p>
        </w:tc>
        <w:tc>
          <w:tcPr>
            <w:tcW w:w="95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1,24</w:t>
            </w:r>
            <w:r/>
          </w:p>
        </w:tc>
        <w:tc>
          <w:tcPr>
            <w:tcW w:w="944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1,31</w:t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1,22</w:t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1,3</w:t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85"/>
        </w:trPr>
        <w:tc>
          <w:tcPr>
            <w:gridSpan w:val="12"/>
            <w:tcW w:w="15177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Задача 2. Создание условий для устойчивого функционирования системы пассажирских перевозок в Грайворонском городском округе</w:t>
            </w: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2578"/>
        </w:trPr>
        <w:tc>
          <w:tcPr>
            <w:tcW w:w="42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</w:t>
            </w:r>
            <w:r/>
          </w:p>
        </w:tc>
        <w:tc>
          <w:tcPr>
            <w:tcW w:w="199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widowControl w:val="off"/>
            </w:pPr>
            <w:r>
              <w:t xml:space="preserve">Основное       </w:t>
              <w:br/>
              <w:t xml:space="preserve">мероприятие 2.1.</w:t>
            </w:r>
            <w:r/>
          </w:p>
          <w:p>
            <w:pPr>
              <w:pStyle w:val="685"/>
              <w:jc w:val="center"/>
              <w:spacing w:before="10" w:after="10" w:line="24" w:lineRule="atLeast"/>
              <w:widowControl w:val="off"/>
            </w:pPr>
            <w:r>
              <w:t xml:space="preserve">Дотации на покрытие убытков  </w:t>
            </w:r>
            <w:r>
              <w:br/>
            </w:r>
            <w:r>
              <w:t xml:space="preserve">по организации транспортного обслуживания</w:t>
            </w:r>
            <w:r/>
          </w:p>
          <w:p>
            <w:pPr>
              <w:pStyle w:val="685"/>
              <w:jc w:val="center"/>
              <w:spacing w:before="10" w:after="10" w:line="24" w:lineRule="atLeast"/>
              <w:widowControl w:val="off"/>
            </w:pPr>
            <w:r>
              <w:t xml:space="preserve">на внутримуниципаль-ном пригородном сообщении</w:t>
            </w:r>
            <w:r/>
          </w:p>
        </w:tc>
        <w:tc>
          <w:tcPr>
            <w:tcW w:w="212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Администрация Грайворонского городского округа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2015-2025</w:t>
            </w:r>
            <w:r/>
          </w:p>
        </w:tc>
        <w:tc>
          <w:tcPr>
            <w:tcW w:w="1215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</w:t>
            </w:r>
            <w:r/>
          </w:p>
        </w:tc>
        <w:tc>
          <w:tcPr>
            <w:tcW w:w="2470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пригородных внутримуниципальных маршрутов, штук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widowControl w:val="off"/>
            </w:pPr>
            <w:r>
              <w:t xml:space="preserve">11</w:t>
            </w:r>
            <w:r/>
          </w:p>
        </w:tc>
        <w:tc>
          <w:tcPr>
            <w:tcW w:w="933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widowControl w:val="off"/>
            </w:pPr>
            <w:r>
              <w:t xml:space="preserve">11</w:t>
            </w:r>
            <w:r/>
          </w:p>
        </w:tc>
        <w:tc>
          <w:tcPr>
            <w:tcW w:w="95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widowControl w:val="off"/>
            </w:pPr>
            <w:r>
              <w:t xml:space="preserve">11</w:t>
            </w:r>
            <w:r/>
          </w:p>
        </w:tc>
        <w:tc>
          <w:tcPr>
            <w:tcW w:w="944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widowControl w:val="off"/>
            </w:pPr>
            <w:r>
              <w:t xml:space="preserve">11</w:t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widowControl w:val="off"/>
            </w:pPr>
            <w:r>
              <w:t xml:space="preserve">11</w:t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widowControl w:val="off"/>
            </w:pPr>
            <w:r>
              <w:t xml:space="preserve">11</w:t>
            </w:r>
            <w:r/>
          </w:p>
        </w:tc>
      </w:tr>
    </w:tbl>
    <w:p>
      <w:pPr>
        <w:pStyle w:val="685"/>
        <w:spacing w:before="10" w:after="10" w:line="24" w:lineRule="atLeast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707"/>
        <w:ind w:firstLine="540"/>
        <w:jc w:val="both"/>
        <w:spacing w:before="10" w:after="10" w:line="24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&lt;1&gt; По данной форме заполняются таблицы на каждый этап реализации муниципальной программы, </w:t>
      </w:r>
      <w:r/>
    </w:p>
    <w:p>
      <w:pPr>
        <w:pStyle w:val="707"/>
        <w:ind w:firstLine="540"/>
        <w:jc w:val="both"/>
        <w:spacing w:before="10" w:after="10" w:line="24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где N - номер этапа реализации.</w:t>
      </w:r>
      <w:r/>
    </w:p>
    <w:p>
      <w:pPr>
        <w:pStyle w:val="707"/>
        <w:ind w:firstLine="540"/>
        <w:jc w:val="both"/>
        <w:spacing w:before="10" w:after="10" w:line="24" w:lineRule="atLeast"/>
        <w:rPr>
          <w:rFonts w:ascii="Times New Roman" w:hAnsi="Times New Roman"/>
          <w:sz w:val="24"/>
          <w:szCs w:val="24"/>
        </w:rPr>
      </w:pPr>
      <w:r/>
      <w:bookmarkStart w:id="1" w:name="P964"/>
      <w:r/>
      <w:bookmarkEnd w:id="1"/>
      <w:r>
        <w:rPr>
          <w:rFonts w:ascii="Times New Roman" w:hAnsi="Times New Roman"/>
          <w:sz w:val="24"/>
          <w:szCs w:val="24"/>
        </w:rPr>
        <w:t xml:space="preserve">&lt;2&gt; В указанной графе отражается вид показателя (прогрессирующий - П или регрессирующий - Р) в соответствии с Методическими рекомендациями по мониторингу реализации муниципальных программ Грайворонского городского округа</w:t>
      </w:r>
      <w:r/>
    </w:p>
    <w:p>
      <w:pPr>
        <w:pStyle w:val="685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pStyle w:val="685"/>
        <w:jc w:val="right"/>
        <w:rPr>
          <w:color w:val="FF0000"/>
        </w:rPr>
      </w:pPr>
      <w:r>
        <w:rPr>
          <w:b/>
          <w:color w:val="FF0000"/>
          <w:sz w:val="28"/>
          <w:szCs w:val="28"/>
        </w:rPr>
        <w:br w:type="page"/>
      </w:r>
      <w:r>
        <w:rPr>
          <w:color w:val="FF0000"/>
        </w:rPr>
      </w:r>
      <w:r/>
    </w:p>
    <w:p>
      <w:pPr>
        <w:pStyle w:val="707"/>
        <w:jc w:val="center"/>
        <w:spacing w:before="10" w:after="10" w:line="24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СИСТЕМА ОСНОВНЫХ МЕРОПРИЯТИЙ И ПОКАЗАТЕЛЕЙ </w:t>
      </w:r>
      <w:r>
        <w:rPr>
          <w:rFonts w:ascii="Times New Roman" w:hAnsi="Times New Roman"/>
          <w:b/>
          <w:sz w:val="28"/>
          <w:szCs w:val="28"/>
        </w:rPr>
      </w:r>
      <w:r/>
    </w:p>
    <w:p>
      <w:pPr>
        <w:pStyle w:val="707"/>
        <w:jc w:val="center"/>
        <w:spacing w:before="10" w:after="10" w:line="24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муниципальной программы </w:t>
      </w:r>
      <w:r>
        <w:rPr>
          <w:rFonts w:ascii="Times New Roman" w:hAnsi="Times New Roman"/>
          <w:b/>
          <w:sz w:val="28"/>
          <w:szCs w:val="28"/>
        </w:rPr>
        <w:t xml:space="preserve">Грайворонского городского округа</w:t>
      </w:r>
      <w:r>
        <w:rPr>
          <w:rFonts w:ascii="Times New Roman" w:hAnsi="Times New Roman"/>
          <w:b/>
          <w:sz w:val="28"/>
          <w:szCs w:val="28"/>
        </w:rPr>
      </w:r>
      <w:r/>
    </w:p>
    <w:p>
      <w:pPr>
        <w:pStyle w:val="707"/>
        <w:jc w:val="center"/>
        <w:spacing w:before="10" w:after="10" w:line="24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«Совершенствование и развитие транспортной системы и дорожной сети </w:t>
      </w:r>
      <w:r/>
    </w:p>
    <w:p>
      <w:pPr>
        <w:pStyle w:val="707"/>
        <w:jc w:val="center"/>
        <w:spacing w:before="10" w:after="10" w:line="24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Грайворонского городского округа»</w:t>
      </w:r>
      <w:r/>
    </w:p>
    <w:p>
      <w:pPr>
        <w:pStyle w:val="707"/>
        <w:jc w:val="center"/>
        <w:spacing w:before="10" w:after="10" w:line="24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2-м этапе реализации</w:t>
      </w:r>
      <w:r/>
    </w:p>
    <w:p>
      <w:pPr>
        <w:pStyle w:val="707"/>
        <w:jc w:val="center"/>
        <w:spacing w:before="10" w:after="10" w:line="24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/>
    </w:p>
    <w:p>
      <w:pPr>
        <w:pStyle w:val="707"/>
        <w:jc w:val="right"/>
        <w:spacing w:before="10" w:after="10" w:line="24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Таблица № 2</w:t>
      </w:r>
      <w:r/>
    </w:p>
    <w:p>
      <w:pPr>
        <w:pStyle w:val="707"/>
        <w:jc w:val="right"/>
        <w:spacing w:before="10" w:after="10" w:line="24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/>
    </w:p>
    <w:tbl>
      <w:tblPr>
        <w:tblW w:w="1523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488"/>
        <w:gridCol w:w="2488"/>
        <w:gridCol w:w="1986"/>
        <w:gridCol w:w="1621"/>
        <w:gridCol w:w="1417"/>
        <w:gridCol w:w="3057"/>
        <w:gridCol w:w="912"/>
        <w:gridCol w:w="709"/>
        <w:gridCol w:w="709"/>
        <w:gridCol w:w="992"/>
        <w:gridCol w:w="851"/>
      </w:tblGrid>
      <w:tr>
        <w:trPr>
          <w:cantSplit/>
          <w:trHeight w:val="752"/>
          <w:tblHeader/>
        </w:trPr>
        <w:tc>
          <w:tcPr>
            <w:tcW w:w="488" w:type="dxa"/>
            <w:vAlign w:val="center"/>
            <w:vMerge w:val="restart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п/п</w:t>
            </w:r>
            <w:r/>
          </w:p>
        </w:tc>
        <w:tc>
          <w:tcPr>
            <w:tcW w:w="2488" w:type="dxa"/>
            <w:vAlign w:val="center"/>
            <w:vMerge w:val="restart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муниципальной программы, подпрограмм, мероприятий</w:t>
            </w:r>
            <w:r/>
          </w:p>
        </w:tc>
        <w:tc>
          <w:tcPr>
            <w:tcW w:w="1986" w:type="dxa"/>
            <w:vAlign w:val="center"/>
            <w:vMerge w:val="restart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Ответственный исполнитель (соисполнитель, участник), ответственный за реализацию</w:t>
            </w:r>
            <w:r/>
          </w:p>
        </w:tc>
        <w:tc>
          <w:tcPr>
            <w:tcW w:w="1621" w:type="dxa"/>
            <w:vAlign w:val="center"/>
            <w:vMerge w:val="restart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Срок реализации (начало, завершение)</w:t>
            </w:r>
            <w:r/>
          </w:p>
        </w:tc>
        <w:tc>
          <w:tcPr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Вид показателя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b/>
                <w:sz w:val="24"/>
                <w:szCs w:val="24"/>
              </w:rPr>
              <w:instrText xml:space="preserve">HYPERLINK \l "P964"</w:instrTex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&lt;2&gt;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3057" w:type="dxa"/>
            <w:vAlign w:val="center"/>
            <w:vMerge w:val="restart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показателя, единица измерения</w:t>
            </w:r>
            <w:r/>
          </w:p>
        </w:tc>
        <w:tc>
          <w:tcPr>
            <w:gridSpan w:val="5"/>
            <w:tcW w:w="4173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Значение показателя конечного 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 непосредственного результата 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 годам реализации</w:t>
            </w:r>
            <w:r/>
          </w:p>
        </w:tc>
      </w:tr>
      <w:tr>
        <w:trPr>
          <w:cantSplit/>
          <w:trHeight w:val="483"/>
          <w:tblHeader/>
        </w:trPr>
        <w:tc>
          <w:tcPr>
            <w:tcW w:w="488" w:type="dxa"/>
            <w:vAlign w:val="center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W w:w="2488" w:type="dxa"/>
            <w:vAlign w:val="center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W w:w="1986" w:type="dxa"/>
            <w:vAlign w:val="center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W w:w="1621" w:type="dxa"/>
            <w:vAlign w:val="center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W w:w="3057" w:type="dxa"/>
            <w:vAlign w:val="center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W w:w="912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2021</w:t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2022</w:t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2023</w:t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2024</w:t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2025</w:t>
            </w:r>
            <w:r/>
          </w:p>
        </w:tc>
      </w:tr>
      <w:tr>
        <w:trPr>
          <w:trHeight w:val="221"/>
        </w:trPr>
        <w:tc>
          <w:tcPr>
            <w:tcW w:w="488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tcW w:w="2488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</w:t>
            </w:r>
            <w:r/>
          </w:p>
        </w:tc>
        <w:tc>
          <w:tcPr>
            <w:tcW w:w="1621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</w:t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</w:t>
            </w:r>
            <w:r/>
          </w:p>
        </w:tc>
        <w:tc>
          <w:tcPr>
            <w:tcW w:w="3057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</w:t>
            </w:r>
            <w:r/>
          </w:p>
        </w:tc>
        <w:tc>
          <w:tcPr>
            <w:tcW w:w="912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</w:t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</w:t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</w:t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</w:t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</w:t>
            </w:r>
            <w:r/>
          </w:p>
        </w:tc>
      </w:tr>
      <w:tr>
        <w:trPr>
          <w:trHeight w:val="2169"/>
        </w:trPr>
        <w:tc>
          <w:tcPr>
            <w:tcW w:w="488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tcW w:w="2488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widowControl w:val="off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Муниципальная программа «Совершенствование и развитие</w:t>
            </w:r>
            <w:r/>
          </w:p>
          <w:p>
            <w:pPr>
              <w:pStyle w:val="685"/>
              <w:jc w:val="center"/>
              <w:spacing w:before="10" w:after="10" w:line="24" w:lineRule="atLeast"/>
              <w:widowControl w:val="off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транспортной системы и дорожной сети Грайворонского городского округа»:</w:t>
            </w:r>
            <w:r/>
          </w:p>
          <w:p>
            <w:pPr>
              <w:pStyle w:val="685"/>
              <w:jc w:val="center"/>
              <w:spacing w:before="10" w:after="10" w:line="24" w:lineRule="atLeast"/>
              <w:widowControl w:val="off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1-й этап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Управление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строительству, транспорту,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ЖКХ и ТЭК администрации Грайворонского городского округа</w:t>
            </w:r>
            <w:r/>
          </w:p>
        </w:tc>
        <w:tc>
          <w:tcPr>
            <w:tcW w:w="1621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2015-2025</w:t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</w:t>
            </w:r>
            <w:r/>
          </w:p>
        </w:tc>
        <w:tc>
          <w:tcPr>
            <w:tcW w:w="3057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Доля автомобильных дорог  местного значения, относящихся к улично-дорожной сети населенных пунктов, соответствующих нормативным требованиям к транспортно-эксплуатационным показателям, в общей протяженности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автомобильных дорог,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процентах</w:t>
            </w: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W w:w="912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92</w:t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92</w:t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93</w:t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94</w:t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95</w:t>
            </w:r>
            <w:r/>
          </w:p>
        </w:tc>
      </w:tr>
      <w:tr>
        <w:trPr>
          <w:trHeight w:val="875"/>
        </w:trPr>
        <w:tc>
          <w:tcPr>
            <w:tcW w:w="488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488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1621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</w:t>
            </w:r>
            <w:r/>
          </w:p>
        </w:tc>
        <w:tc>
          <w:tcPr>
            <w:tcW w:w="3057" w:type="dxa"/>
            <w:vAlign w:val="center"/>
            <w:textDirection w:val="lrTb"/>
            <w:noWrap w:val="false"/>
          </w:tcPr>
          <w:p>
            <w:pPr>
              <w:pStyle w:val="685"/>
              <w:contextualSpacing/>
              <w:jc w:val="center"/>
              <w:spacing w:before="10" w:after="10" w:line="24" w:lineRule="atLeast"/>
              <w:tabs>
                <w:tab w:val="left" w:pos="263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Общая протяженность отремонтированных автодорог местного значения, относящихся </w:t>
              <w:br/>
              <w:t xml:space="preserve">к улично-дорожной сети населенных пунктов городского округа, км</w:t>
            </w:r>
            <w:r/>
          </w:p>
        </w:tc>
        <w:tc>
          <w:tcPr>
            <w:tcW w:w="912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13,143</w:t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6,96</w:t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0,5</w:t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0,5</w:t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1,0</w:t>
            </w:r>
            <w:r/>
          </w:p>
        </w:tc>
      </w:tr>
      <w:tr>
        <w:trPr>
          <w:trHeight w:val="832"/>
        </w:trPr>
        <w:tc>
          <w:tcPr>
            <w:tcW w:w="488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2488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1621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</w:t>
            </w:r>
            <w:r/>
          </w:p>
        </w:tc>
        <w:tc>
          <w:tcPr>
            <w:tcW w:w="3057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Пассажирооборот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транспортом общего пользования, млн. пасс.-км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W w:w="912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3,323</w:t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3,038</w:t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3,03</w:t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3,02</w:t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3,0</w:t>
            </w:r>
            <w:r/>
          </w:p>
        </w:tc>
      </w:tr>
      <w:tr>
        <w:trPr>
          <w:trHeight w:val="1310"/>
        </w:trPr>
        <w:tc>
          <w:tcPr>
            <w:tcW w:w="488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tcW w:w="2488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Подпрограмма 1</w:t>
            </w:r>
            <w:r/>
          </w:p>
          <w:p>
            <w:pPr>
              <w:pStyle w:val="685"/>
              <w:jc w:val="center"/>
              <w:spacing w:before="10" w:after="10" w:line="24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«Совершенствование и развитие дорожной сети</w:t>
            </w:r>
            <w:r>
              <w:rPr>
                <w:b/>
                <w:sz w:val="24"/>
                <w:szCs w:val="24"/>
              </w:rPr>
              <w:t xml:space="preserve">»</w:t>
            </w:r>
            <w:r>
              <w:rPr>
                <w:b/>
                <w:sz w:val="24"/>
                <w:szCs w:val="24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</w:t>
            </w:r>
            <w:r/>
          </w:p>
          <w:p>
            <w:pPr>
              <w:pStyle w:val="685"/>
              <w:jc w:val="center"/>
              <w:spacing w:before="10" w:after="10" w:line="24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строительству, транспорту,</w:t>
            </w:r>
            <w:r/>
          </w:p>
          <w:p>
            <w:pPr>
              <w:pStyle w:val="685"/>
              <w:jc w:val="center"/>
              <w:spacing w:before="10" w:after="10" w:line="24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ЖКХ и ТЭК администрации Грайворонского городского округа</w:t>
            </w:r>
            <w:r/>
          </w:p>
        </w:tc>
        <w:tc>
          <w:tcPr>
            <w:tcW w:w="1621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2015-2025</w:t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</w:t>
            </w:r>
            <w:r/>
          </w:p>
        </w:tc>
        <w:tc>
          <w:tcPr>
            <w:tcW w:w="3057" w:type="dxa"/>
            <w:vAlign w:val="center"/>
            <w:textDirection w:val="lrTb"/>
            <w:noWrap w:val="false"/>
          </w:tcPr>
          <w:p>
            <w:pPr>
              <w:pStyle w:val="685"/>
              <w:contextualSpacing/>
              <w:jc w:val="center"/>
              <w:spacing w:before="10" w:after="10" w:line="24" w:lineRule="atLeast"/>
              <w:tabs>
                <w:tab w:val="left" w:pos="263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85"/>
              <w:contextualSpacing/>
              <w:jc w:val="center"/>
              <w:spacing w:before="10" w:after="10" w:line="24" w:lineRule="atLeast"/>
              <w:tabs>
                <w:tab w:val="left" w:pos="263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85"/>
              <w:contextualSpacing/>
              <w:jc w:val="center"/>
              <w:spacing w:before="10" w:after="10" w:line="24" w:lineRule="atLeast"/>
              <w:tabs>
                <w:tab w:val="left" w:pos="263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85"/>
              <w:contextualSpacing/>
              <w:jc w:val="center"/>
              <w:spacing w:before="10" w:after="10" w:line="24" w:lineRule="atLeast"/>
              <w:tabs>
                <w:tab w:val="left" w:pos="263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Общая протяженность отремонтированных автодорог местного значения, относящихся</w:t>
            </w:r>
            <w:r/>
          </w:p>
          <w:p>
            <w:pPr>
              <w:pStyle w:val="685"/>
              <w:contextualSpacing/>
              <w:jc w:val="center"/>
              <w:spacing w:before="10" w:after="10" w:line="24" w:lineRule="atLeast"/>
              <w:tabs>
                <w:tab w:val="left" w:pos="263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улично-дорожной сети населенных пунктов городского округа, км</w:t>
            </w:r>
            <w:r>
              <w:rPr>
                <w:sz w:val="24"/>
                <w:szCs w:val="24"/>
              </w:rPr>
            </w:r>
            <w:r/>
          </w:p>
          <w:p>
            <w:pPr>
              <w:pStyle w:val="685"/>
              <w:contextualSpacing/>
              <w:jc w:val="center"/>
              <w:spacing w:before="10" w:after="10" w:line="24" w:lineRule="atLeast"/>
              <w:tabs>
                <w:tab w:val="left" w:pos="263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85"/>
              <w:contextualSpacing/>
              <w:jc w:val="center"/>
              <w:spacing w:before="10" w:after="10" w:line="24" w:lineRule="atLeast"/>
              <w:tabs>
                <w:tab w:val="left" w:pos="263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912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13,143</w:t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6,96</w:t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0,5</w:t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0,5</w:t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1,0</w:t>
            </w:r>
            <w:r/>
          </w:p>
        </w:tc>
      </w:tr>
      <w:tr>
        <w:trPr>
          <w:trHeight w:val="720"/>
        </w:trPr>
        <w:tc>
          <w:tcPr>
            <w:gridSpan w:val="11"/>
            <w:tcW w:w="15230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widowControl w:val="off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Задача 1. </w:t>
            </w:r>
            <w:r>
              <w:rPr>
                <w:b/>
                <w:sz w:val="24"/>
                <w:szCs w:val="24"/>
              </w:rPr>
              <w:t xml:space="preserve">Сохранность и развитие автодорог местного значения, относящихся к улично-дорожной сети населённых пунктов городского округа, в соответствии с темпами экономического развития городского округа, ростом уровня автомобилизации и объёмов автомобильных перевозок</w:t>
            </w:r>
            <w:r/>
          </w:p>
        </w:tc>
      </w:tr>
      <w:tr>
        <w:trPr>
          <w:trHeight w:val="2683"/>
        </w:trPr>
        <w:tc>
          <w:tcPr>
            <w:tcW w:w="488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</w:t>
            </w:r>
            <w:r/>
          </w:p>
        </w:tc>
        <w:tc>
          <w:tcPr>
            <w:tcW w:w="2488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Основное       мероприятие 1.1.</w:t>
            </w:r>
            <w:r/>
          </w:p>
          <w:p>
            <w:pPr>
              <w:pStyle w:val="685"/>
              <w:jc w:val="center"/>
              <w:spacing w:before="10" w:after="10" w:line="24" w:lineRule="atLeast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«Содержание</w:t>
            </w:r>
            <w:r/>
          </w:p>
          <w:p>
            <w:pPr>
              <w:pStyle w:val="685"/>
              <w:jc w:val="center"/>
              <w:spacing w:before="10" w:after="10" w:line="24" w:lineRule="atLeast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 ремонт автомобильных дорог местного значения</w:t>
            </w:r>
            <w:r/>
          </w:p>
          <w:p>
            <w:pPr>
              <w:pStyle w:val="685"/>
              <w:jc w:val="center"/>
              <w:spacing w:before="10" w:after="10" w:line="24" w:lineRule="atLeast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 искусственных сооружений на них, относящихся</w:t>
            </w:r>
            <w:r/>
          </w:p>
          <w:p>
            <w:pPr>
              <w:pStyle w:val="685"/>
              <w:jc w:val="center"/>
              <w:spacing w:before="10" w:after="10" w:line="24" w:lineRule="atLeast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улично-дорожной сети населенных пунктов городского округа»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Управление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строительству, транспорту,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ЖКХ и ТЭК администрации Грайворонского городского округа</w:t>
            </w:r>
            <w:r/>
          </w:p>
        </w:tc>
        <w:tc>
          <w:tcPr>
            <w:tcW w:w="1621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2015-2025</w:t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</w:t>
            </w:r>
            <w:r/>
          </w:p>
        </w:tc>
        <w:tc>
          <w:tcPr>
            <w:tcW w:w="3057" w:type="dxa"/>
            <w:vAlign w:val="center"/>
            <w:textDirection w:val="lrTb"/>
            <w:noWrap w:val="false"/>
          </w:tcPr>
          <w:p>
            <w:pPr>
              <w:pStyle w:val="685"/>
              <w:contextualSpacing/>
              <w:ind w:left="-20"/>
              <w:jc w:val="center"/>
              <w:spacing w:before="10" w:after="10" w:line="24" w:lineRule="atLeast"/>
              <w:tabs>
                <w:tab w:val="left" w:pos="263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Общая протяженность отремонтированных автодорог местного значения, относящихся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к улично-дорожной сети населенных пунктов городского округа, км</w:t>
            </w:r>
            <w:r/>
          </w:p>
        </w:tc>
        <w:tc>
          <w:tcPr>
            <w:tcW w:w="912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13,143</w:t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6,96</w:t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0,5</w:t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0,5</w:t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1,0</w:t>
            </w:r>
            <w:r/>
          </w:p>
        </w:tc>
      </w:tr>
      <w:tr>
        <w:trPr>
          <w:trHeight w:val="1335"/>
        </w:trPr>
        <w:tc>
          <w:tcPr>
            <w:tcW w:w="488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</w:t>
            </w:r>
            <w:r/>
          </w:p>
        </w:tc>
        <w:tc>
          <w:tcPr>
            <w:tcW w:w="2488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widowControl w:val="off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Подпрограмма 2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«Совершенствование и развитие транспортной системы»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Грайворонского городского округа</w:t>
            </w: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W w:w="1621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2015-2025</w:t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</w:t>
            </w:r>
            <w:r/>
          </w:p>
        </w:tc>
        <w:tc>
          <w:tcPr>
            <w:tcW w:w="3057" w:type="dxa"/>
            <w:vAlign w:val="center"/>
            <w:textDirection w:val="lrTb"/>
            <w:noWrap w:val="false"/>
          </w:tcPr>
          <w:p>
            <w:pPr>
              <w:pStyle w:val="685"/>
              <w:contextualSpacing/>
              <w:ind w:left="-20"/>
              <w:jc w:val="center"/>
              <w:spacing w:before="10" w:after="10" w:line="24" w:lineRule="atLeast"/>
              <w:tabs>
                <w:tab w:val="left" w:pos="263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85"/>
              <w:contextualSpacing/>
              <w:ind w:left="-20"/>
              <w:jc w:val="center"/>
              <w:spacing w:before="10" w:after="10" w:line="24" w:lineRule="atLeast"/>
              <w:tabs>
                <w:tab w:val="left" w:pos="263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85"/>
              <w:contextualSpacing/>
              <w:ind w:left="-20"/>
              <w:jc w:val="center"/>
              <w:spacing w:before="10" w:after="10" w:line="24" w:lineRule="atLeast"/>
              <w:tabs>
                <w:tab w:val="left" w:pos="263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Пассажирооборот транспортом общего пользования,</w:t>
            </w:r>
            <w:r/>
          </w:p>
          <w:p>
            <w:pPr>
              <w:pStyle w:val="685"/>
              <w:contextualSpacing/>
              <w:ind w:left="-20"/>
              <w:jc w:val="center"/>
              <w:spacing w:before="10" w:after="10" w:line="24" w:lineRule="atLeast"/>
              <w:tabs>
                <w:tab w:val="left" w:pos="263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млн. пасс.-км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W w:w="912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3,323</w:t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3,038</w:t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3,03</w:t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3,02</w:t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3,0</w:t>
            </w:r>
            <w:r/>
          </w:p>
        </w:tc>
      </w:tr>
      <w:tr>
        <w:trPr>
          <w:trHeight w:val="281"/>
        </w:trPr>
        <w:tc>
          <w:tcPr>
            <w:gridSpan w:val="11"/>
            <w:tcW w:w="15230" w:type="dxa"/>
            <w:vAlign w:val="center"/>
            <w:textDirection w:val="lrTb"/>
            <w:noWrap w:val="false"/>
          </w:tcPr>
          <w:p>
            <w:pPr>
              <w:pStyle w:val="685"/>
              <w:jc w:val="both"/>
              <w:spacing w:before="10" w:after="10" w:line="24" w:lineRule="atLeast"/>
              <w:widowControl w:val="off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Задача 2. Создание условий для устойчивого функционирования системы пассажирских перевозок в Грайворонском городском округе</w:t>
            </w:r>
            <w:r/>
          </w:p>
        </w:tc>
      </w:tr>
      <w:tr>
        <w:trPr>
          <w:trHeight w:val="735"/>
        </w:trPr>
        <w:tc>
          <w:tcPr>
            <w:tcW w:w="488" w:type="dxa"/>
            <w:vAlign w:val="top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</w:t>
            </w:r>
            <w:r/>
          </w:p>
        </w:tc>
        <w:tc>
          <w:tcPr>
            <w:tcW w:w="2488" w:type="dxa"/>
            <w:vAlign w:val="top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Основное       </w:t>
              <w:br/>
              <w:t xml:space="preserve">мероприятие 2.1.</w:t>
            </w:r>
            <w:r/>
          </w:p>
          <w:p>
            <w:pPr>
              <w:pStyle w:val="685"/>
              <w:jc w:val="center"/>
              <w:spacing w:before="10" w:after="10" w:line="24" w:lineRule="atLeast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Дотации на покрытие убытков  </w:t>
            </w:r>
            <w:r>
              <w:rPr>
                <w:sz w:val="24"/>
                <w:szCs w:val="24"/>
              </w:rPr>
            </w:r>
            <w:r/>
          </w:p>
          <w:p>
            <w:pPr>
              <w:pStyle w:val="685"/>
              <w:jc w:val="center"/>
              <w:spacing w:before="10" w:after="10" w:line="24" w:lineRule="atLeast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организации транспортного обслуживания  </w:t>
            </w:r>
            <w:r>
              <w:rPr>
                <w:sz w:val="24"/>
                <w:szCs w:val="24"/>
              </w:rPr>
            </w:r>
            <w:r/>
          </w:p>
          <w:p>
            <w:pPr>
              <w:pStyle w:val="685"/>
              <w:jc w:val="center"/>
              <w:spacing w:before="10" w:after="10" w:line="24" w:lineRule="atLeast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внутримуниципаль-ном пригородном сообщении</w:t>
            </w:r>
            <w:r/>
          </w:p>
        </w:tc>
        <w:tc>
          <w:tcPr>
            <w:tcW w:w="1986" w:type="dxa"/>
            <w:vAlign w:val="top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Грайворонского городского округа</w:t>
            </w: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W w:w="1621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2015-2025</w:t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</w:t>
            </w:r>
            <w:r/>
          </w:p>
        </w:tc>
        <w:tc>
          <w:tcPr>
            <w:tcW w:w="3057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пригородных внутримуниципальных маршрутов, штук</w:t>
            </w: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W w:w="912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</w:t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</w:t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</w:t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</w:t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</w:t>
            </w:r>
            <w:r/>
          </w:p>
        </w:tc>
      </w:tr>
    </w:tbl>
    <w:p>
      <w:pPr>
        <w:pStyle w:val="707"/>
        <w:ind w:firstLine="540"/>
        <w:jc w:val="both"/>
        <w:spacing w:before="10" w:after="10" w:line="24" w:lineRule="atLeast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</w:r>
      <w:r/>
    </w:p>
    <w:p>
      <w:pPr>
        <w:pStyle w:val="685"/>
        <w:spacing w:before="10" w:after="10" w:line="24" w:lineRule="atLeast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  <w:r/>
    </w:p>
    <w:p>
      <w:pPr>
        <w:pStyle w:val="707"/>
        <w:ind w:firstLine="540"/>
        <w:jc w:val="both"/>
        <w:spacing w:before="10" w:after="10" w:line="24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&lt;1&gt; По данной форме заполняются таблицы на каждый этап реализации муниципальной программы, </w:t>
      </w:r>
      <w:r/>
    </w:p>
    <w:p>
      <w:pPr>
        <w:pStyle w:val="707"/>
        <w:ind w:firstLine="540"/>
        <w:jc w:val="both"/>
        <w:spacing w:before="10" w:after="10" w:line="24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где N - номер этапа реализации.</w:t>
      </w:r>
      <w:r/>
    </w:p>
    <w:p>
      <w:pPr>
        <w:pStyle w:val="707"/>
        <w:ind w:firstLine="540"/>
        <w:jc w:val="both"/>
        <w:spacing w:before="10" w:after="10" w:line="24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&lt;2&gt; В указанной графе отражается вид показателя (прогрессирующий - П или регрессирующий - Р) в соответствии с Методическими рекомендациями по мониторингу реализации муниципальных программ Грайворонского городского округа</w:t>
      </w:r>
      <w:r/>
    </w:p>
    <w:p>
      <w:pPr>
        <w:pStyle w:val="685"/>
        <w:ind w:left="935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>
        <w:rPr>
          <w:b/>
          <w:sz w:val="28"/>
          <w:szCs w:val="28"/>
        </w:rPr>
        <w:t xml:space="preserve">Приложение №3</w:t>
      </w:r>
      <w:r/>
    </w:p>
    <w:p>
      <w:pPr>
        <w:pStyle w:val="685"/>
        <w:ind w:left="935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 муниципальной программе </w:t>
      </w:r>
      <w:r>
        <w:rPr>
          <w:b/>
          <w:sz w:val="28"/>
          <w:szCs w:val="28"/>
        </w:rPr>
        <w:t xml:space="preserve">Грайворонского городского округа</w:t>
      </w:r>
      <w:r>
        <w:rPr>
          <w:b/>
          <w:sz w:val="28"/>
          <w:szCs w:val="28"/>
        </w:rPr>
      </w:r>
      <w:r/>
    </w:p>
    <w:p>
      <w:pPr>
        <w:pStyle w:val="685"/>
        <w:ind w:left="9356"/>
        <w:jc w:val="center"/>
        <w:tabs>
          <w:tab w:val="left" w:pos="312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«Совершенствование и развитие транспортной системы и дорожной сети Грайворонского городского округа»</w:t>
      </w:r>
      <w:r/>
    </w:p>
    <w:p>
      <w:pPr>
        <w:pStyle w:val="685"/>
        <w:ind w:left="48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685"/>
        <w:ind w:left="48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707"/>
        <w:jc w:val="center"/>
        <w:spacing w:before="10" w:after="10" w:line="24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РЕСУРСНОЕ ОБЕСПЕЧЕНИЕ И ПРОГНОЗНАЯ (СПРАВОЧНАЯ) ОЦЕНКА</w:t>
      </w:r>
      <w:r/>
    </w:p>
    <w:p>
      <w:pPr>
        <w:pStyle w:val="707"/>
        <w:jc w:val="center"/>
        <w:spacing w:before="10" w:after="10" w:line="24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расходов на реализацию основных мероприятий (мероприятий)</w:t>
      </w:r>
      <w:r/>
    </w:p>
    <w:p>
      <w:pPr>
        <w:pStyle w:val="707"/>
        <w:jc w:val="center"/>
        <w:spacing w:before="10" w:after="10" w:line="24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муниципальной программы</w:t>
      </w:r>
      <w:r>
        <w:rPr>
          <w:rFonts w:ascii="Times New Roman" w:hAnsi="Times New Roman"/>
          <w:b/>
          <w:sz w:val="28"/>
          <w:szCs w:val="28"/>
        </w:rPr>
        <w:t xml:space="preserve"> Грайворонского</w:t>
      </w:r>
      <w:r>
        <w:rPr>
          <w:rFonts w:ascii="Times New Roman" w:hAnsi="Times New Roman"/>
          <w:b/>
          <w:sz w:val="28"/>
          <w:szCs w:val="28"/>
        </w:rPr>
        <w:t xml:space="preserve"> городского округа из различных источников</w:t>
      </w:r>
      <w:r/>
    </w:p>
    <w:p>
      <w:pPr>
        <w:pStyle w:val="707"/>
        <w:jc w:val="center"/>
        <w:spacing w:before="10" w:after="10" w:line="24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финансирования на 1-м этапе реализации</w:t>
      </w:r>
      <w:r/>
    </w:p>
    <w:p>
      <w:pPr>
        <w:pStyle w:val="707"/>
        <w:jc w:val="center"/>
        <w:spacing w:before="10" w:after="10" w:line="24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/>
    </w:p>
    <w:p>
      <w:pPr>
        <w:pStyle w:val="707"/>
        <w:jc w:val="right"/>
        <w:spacing w:before="10" w:after="10" w:line="24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Таблица № 1</w:t>
      </w:r>
      <w:r/>
    </w:p>
    <w:p>
      <w:pPr>
        <w:pStyle w:val="707"/>
        <w:jc w:val="right"/>
        <w:spacing w:before="10" w:after="10" w:line="24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/>
    </w:p>
    <w:tbl>
      <w:tblPr>
        <w:tblW w:w="1537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1622"/>
        <w:gridCol w:w="1842"/>
        <w:gridCol w:w="1418"/>
        <w:gridCol w:w="1417"/>
        <w:gridCol w:w="1276"/>
        <w:gridCol w:w="1276"/>
        <w:gridCol w:w="1276"/>
        <w:gridCol w:w="1275"/>
        <w:gridCol w:w="993"/>
        <w:gridCol w:w="1275"/>
        <w:gridCol w:w="1701"/>
      </w:tblGrid>
      <w:tr>
        <w:trPr>
          <w:cantSplit/>
          <w:tblHeader/>
        </w:trPr>
        <w:tc>
          <w:tcPr>
            <w:tcW w:w="1622" w:type="dxa"/>
            <w:vAlign w:val="center"/>
            <w:vMerge w:val="restart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Статус</w:t>
            </w:r>
            <w:r/>
          </w:p>
        </w:tc>
        <w:tc>
          <w:tcPr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Наименование муниципальной программы, подпрограммы, основного мероприятия</w:t>
            </w:r>
            <w:r/>
          </w:p>
        </w:tc>
        <w:tc>
          <w:tcPr>
            <w:tcW w:w="1418" w:type="dxa"/>
            <w:vAlign w:val="center"/>
            <w:vMerge w:val="restart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Источники финансирования</w:t>
            </w:r>
            <w:r/>
          </w:p>
        </w:tc>
        <w:tc>
          <w:tcPr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Общий объем финансирования, тыс. рублей</w:t>
            </w:r>
            <w:r/>
          </w:p>
        </w:tc>
        <w:tc>
          <w:tcPr>
            <w:gridSpan w:val="6"/>
            <w:tcW w:w="7371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Расходы (тыс. рублей), годы</w:t>
            </w:r>
            <w:r/>
          </w:p>
        </w:tc>
        <w:tc>
          <w:tcPr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Итого 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на </w:t>
            </w:r>
            <w:r>
              <w:rPr>
                <w:rFonts w:ascii="Times New Roman" w:hAnsi="Times New Roman"/>
                <w:b/>
              </w:rPr>
              <w:fldChar w:fldCharType="begin"/>
            </w:r>
            <w:r>
              <w:rPr>
                <w:rFonts w:ascii="Times New Roman" w:hAnsi="Times New Roman"/>
                <w:b/>
              </w:rPr>
              <w:instrText xml:space="preserve">HYPERLINK \l "P552"</w:instrText>
            </w:r>
            <w:r>
              <w:rPr>
                <w:rFonts w:ascii="Times New Roman" w:hAnsi="Times New Roman"/>
                <w:b/>
              </w:rPr>
              <w:fldChar w:fldCharType="separate"/>
            </w:r>
            <w:r>
              <w:rPr>
                <w:rFonts w:ascii="Times New Roman" w:hAnsi="Times New Roman"/>
                <w:b/>
              </w:rPr>
              <w:t xml:space="preserve">1-м</w:t>
            </w:r>
            <w:r>
              <w:rPr>
                <w:rFonts w:ascii="Times New Roman" w:hAnsi="Times New Roman"/>
                <w:b/>
              </w:rPr>
              <w:fldChar w:fldCharType="end"/>
            </w:r>
            <w:r>
              <w:rPr>
                <w:rFonts w:ascii="Times New Roman" w:hAnsi="Times New Roman"/>
                <w:b/>
              </w:rPr>
              <w:t xml:space="preserve"> этапе (годы реализации)</w:t>
            </w:r>
            <w:r/>
          </w:p>
        </w:tc>
      </w:tr>
      <w:tr>
        <w:trPr>
          <w:cantSplit/>
          <w:trHeight w:val="786"/>
          <w:tblHeader/>
        </w:trPr>
        <w:tc>
          <w:tcPr>
            <w:tcW w:w="1622" w:type="dxa"/>
            <w:vAlign w:val="top"/>
            <w:vMerge w:val="continue"/>
            <w:textDirection w:val="lrTb"/>
            <w:noWrap w:val="false"/>
          </w:tcPr>
          <w:p>
            <w:pPr>
              <w:pStyle w:val="685"/>
              <w:spacing w:before="10" w:after="10" w:line="24" w:lineRule="atLeast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W w:w="1842" w:type="dxa"/>
            <w:vAlign w:val="top"/>
            <w:vMerge w:val="continue"/>
            <w:textDirection w:val="lrTb"/>
            <w:noWrap w:val="false"/>
          </w:tcPr>
          <w:p>
            <w:pPr>
              <w:pStyle w:val="685"/>
              <w:spacing w:before="10" w:after="10" w:line="24" w:lineRule="atLeast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W w:w="1418" w:type="dxa"/>
            <w:vAlign w:val="center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2015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2016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2017</w:t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2018</w:t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2019</w:t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2020</w:t>
            </w:r>
            <w:r/>
          </w:p>
        </w:tc>
        <w:tc>
          <w:tcPr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b/>
              </w:rPr>
            </w:pPr>
            <w:r>
              <w:rPr>
                <w:b/>
              </w:rPr>
            </w:r>
            <w:r/>
          </w:p>
        </w:tc>
      </w:tr>
      <w:tr>
        <w:trPr>
          <w:trHeight w:val="79"/>
          <w:tblHeader/>
        </w:trPr>
        <w:tc>
          <w:tcPr>
            <w:tcW w:w="1622" w:type="dxa"/>
            <w:vAlign w:val="top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1</w:t>
            </w:r>
            <w:r/>
          </w:p>
        </w:tc>
        <w:tc>
          <w:tcPr>
            <w:tcW w:w="1842" w:type="dxa"/>
            <w:vAlign w:val="top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2</w:t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3</w:t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4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5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6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7</w:t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8</w:t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9</w:t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10</w:t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11</w:t>
            </w:r>
            <w:r/>
          </w:p>
        </w:tc>
      </w:tr>
      <w:tr>
        <w:trPr>
          <w:cantSplit/>
          <w:trHeight w:val="29"/>
        </w:trPr>
        <w:tc>
          <w:tcPr>
            <w:tcW w:w="1622" w:type="dxa"/>
            <w:vAlign w:val="center"/>
            <w:vMerge w:val="restart"/>
            <w:textDirection w:val="lrTb"/>
            <w:noWrap w:val="false"/>
          </w:tcPr>
          <w:p>
            <w:pPr>
              <w:pStyle w:val="685"/>
              <w:ind w:right="-30"/>
              <w:jc w:val="center"/>
              <w:spacing w:before="10" w:after="10" w:line="24" w:lineRule="atLeast"/>
            </w:pPr>
            <w:r>
              <w:t xml:space="preserve">Муниципальная программа</w:t>
            </w:r>
            <w:r/>
          </w:p>
          <w:p>
            <w:pPr>
              <w:pStyle w:val="685"/>
              <w:ind w:right="-30"/>
              <w:jc w:val="center"/>
              <w:spacing w:before="10" w:after="10" w:line="24" w:lineRule="atLeast"/>
            </w:pPr>
            <w:r/>
            <w:r/>
          </w:p>
        </w:tc>
        <w:tc>
          <w:tcPr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widowControl w:val="off"/>
            </w:pPr>
            <w:r>
              <w:t xml:space="preserve">Муниципальная программа «Совершенствование и развитие</w:t>
            </w:r>
            <w:r/>
          </w:p>
          <w:p>
            <w:pPr>
              <w:pStyle w:val="685"/>
              <w:jc w:val="center"/>
              <w:spacing w:before="10" w:after="10" w:line="24" w:lineRule="atLeast"/>
              <w:widowControl w:val="off"/>
            </w:pPr>
            <w:r>
              <w:t xml:space="preserve">транспортной системы</w:t>
            </w:r>
            <w:r/>
          </w:p>
          <w:p>
            <w:pPr>
              <w:pStyle w:val="685"/>
              <w:jc w:val="center"/>
              <w:spacing w:before="10" w:after="10" w:line="24" w:lineRule="atLeast"/>
              <w:widowControl w:val="off"/>
            </w:pPr>
            <w:r>
              <w:t xml:space="preserve">и дорожной сети Грайворонского городского округа»</w:t>
            </w:r>
            <w:r/>
          </w:p>
          <w:p>
            <w:pPr>
              <w:pStyle w:val="685"/>
              <w:jc w:val="center"/>
              <w:spacing w:before="10" w:after="10" w:line="24" w:lineRule="atLeast"/>
              <w:widowControl w:val="off"/>
            </w:pPr>
            <w:r/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Всего</w:t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770 798,937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22 365,6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24 726,7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28 659</w:t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42 213,1</w:t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85 197,4</w:t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123 218,9</w:t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326 380,7</w:t>
            </w:r>
            <w:r/>
          </w:p>
        </w:tc>
      </w:tr>
      <w:tr>
        <w:trPr>
          <w:cantSplit/>
          <w:trHeight w:val="136"/>
        </w:trPr>
        <w:tc>
          <w:tcPr>
            <w:tcW w:w="1622" w:type="dxa"/>
            <w:vAlign w:val="center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/>
            <w:r/>
          </w:p>
        </w:tc>
        <w:tc>
          <w:tcPr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/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федеральный бюджет</w:t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36 254,4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</w:tr>
      <w:tr>
        <w:trPr>
          <w:cantSplit/>
          <w:trHeight w:val="145"/>
        </w:trPr>
        <w:tc>
          <w:tcPr>
            <w:tcW w:w="1622" w:type="dxa"/>
            <w:vAlign w:val="center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/>
            <w:r/>
          </w:p>
        </w:tc>
        <w:tc>
          <w:tcPr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/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областной бюджет</w:t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262 059,3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/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/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/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11 400</w:t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43 605</w:t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92 566</w:t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147 571</w:t>
            </w:r>
            <w:r/>
          </w:p>
        </w:tc>
      </w:tr>
      <w:tr>
        <w:trPr>
          <w:cantSplit/>
          <w:trHeight w:val="503"/>
        </w:trPr>
        <w:tc>
          <w:tcPr>
            <w:tcW w:w="1622" w:type="dxa"/>
            <w:vAlign w:val="center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/>
            <w:r/>
          </w:p>
        </w:tc>
        <w:tc>
          <w:tcPr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/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консолидиро-ванные бюджеты муниципаль-ных образований</w:t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472 485,337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22 365,6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24 726,7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28 659</w:t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30 813,1</w:t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41 592,4</w:t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30 652,9</w:t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178 809,7</w:t>
            </w:r>
            <w:r/>
          </w:p>
        </w:tc>
      </w:tr>
      <w:tr>
        <w:trPr>
          <w:cantSplit/>
          <w:trHeight w:val="587"/>
        </w:trPr>
        <w:tc>
          <w:tcPr>
            <w:tcW w:w="1622" w:type="dxa"/>
            <w:vAlign w:val="top"/>
            <w:vMerge w:val="continue"/>
            <w:textDirection w:val="lrTb"/>
            <w:noWrap w:val="false"/>
          </w:tcPr>
          <w:p>
            <w:pPr>
              <w:pStyle w:val="685"/>
              <w:spacing w:before="10" w:after="10" w:line="24" w:lineRule="atLeast"/>
              <w:rPr>
                <w:color w:val="FF0000"/>
              </w:rPr>
            </w:pPr>
            <w:r>
              <w:rPr>
                <w:color w:val="FF0000"/>
              </w:rPr>
            </w:r>
            <w:r/>
          </w:p>
        </w:tc>
        <w:tc>
          <w:tcPr>
            <w:tcW w:w="1842" w:type="dxa"/>
            <w:vAlign w:val="top"/>
            <w:vMerge w:val="continue"/>
            <w:textDirection w:val="lrTb"/>
            <w:noWrap w:val="false"/>
          </w:tcPr>
          <w:p>
            <w:pPr>
              <w:pStyle w:val="685"/>
              <w:spacing w:before="10" w:after="10" w:line="24" w:lineRule="atLeast"/>
              <w:rPr>
                <w:color w:val="FF0000"/>
              </w:rPr>
            </w:pPr>
            <w:r>
              <w:rPr>
                <w:color w:val="FF0000"/>
              </w:rPr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территориаль-ные внебюджетные фонды</w:t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</w:tr>
      <w:tr>
        <w:trPr>
          <w:cantSplit/>
        </w:trPr>
        <w:tc>
          <w:tcPr>
            <w:tcW w:w="1622" w:type="dxa"/>
            <w:vAlign w:val="top"/>
            <w:vMerge w:val="continue"/>
            <w:textDirection w:val="lrTb"/>
            <w:noWrap w:val="false"/>
          </w:tcPr>
          <w:p>
            <w:pPr>
              <w:pStyle w:val="685"/>
              <w:spacing w:before="10" w:after="10" w:line="24" w:lineRule="atLeast"/>
              <w:rPr>
                <w:color w:val="FF0000"/>
              </w:rPr>
            </w:pPr>
            <w:r>
              <w:rPr>
                <w:color w:val="FF0000"/>
              </w:rPr>
            </w:r>
            <w:r/>
          </w:p>
        </w:tc>
        <w:tc>
          <w:tcPr>
            <w:tcW w:w="1842" w:type="dxa"/>
            <w:vAlign w:val="top"/>
            <w:vMerge w:val="continue"/>
            <w:textDirection w:val="lrTb"/>
            <w:noWrap w:val="false"/>
          </w:tcPr>
          <w:p>
            <w:pPr>
              <w:pStyle w:val="685"/>
              <w:spacing w:before="10" w:after="10" w:line="24" w:lineRule="atLeast"/>
              <w:rPr>
                <w:color w:val="FF0000"/>
              </w:rPr>
            </w:pPr>
            <w:r>
              <w:rPr>
                <w:color w:val="FF0000"/>
              </w:rPr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иные источники</w:t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</w:tr>
      <w:tr>
        <w:trPr>
          <w:cantSplit/>
        </w:trPr>
        <w:tc>
          <w:tcPr>
            <w:tcW w:w="1622" w:type="dxa"/>
            <w:vAlign w:val="center"/>
            <w:vMerge w:val="restart"/>
            <w:textDirection w:val="lrTb"/>
            <w:noWrap w:val="false"/>
          </w:tcPr>
          <w:p>
            <w:pPr>
              <w:pStyle w:val="685"/>
              <w:ind w:right="-30"/>
              <w:jc w:val="center"/>
              <w:spacing w:before="10" w:after="10" w:line="24" w:lineRule="atLeast"/>
            </w:pPr>
            <w:r>
              <w:t xml:space="preserve">Подпрограмма 1</w:t>
            </w:r>
            <w:r/>
          </w:p>
        </w:tc>
        <w:tc>
          <w:tcPr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Style w:val="685"/>
              <w:ind w:right="-30"/>
              <w:jc w:val="center"/>
              <w:spacing w:before="10" w:after="10" w:line="24" w:lineRule="atLeast"/>
            </w:pPr>
            <w:r>
              <w:t xml:space="preserve">«Совершенствова-ние и развитие дорожной сети»</w:t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Всего</w:t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684 096,767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17 609,6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19 970,7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22 603</w:t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36 157,1</w:t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79 141,5</w:t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115 918,9</w:t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291 400,8</w:t>
            </w:r>
            <w:r/>
          </w:p>
        </w:tc>
      </w:tr>
      <w:tr>
        <w:trPr>
          <w:cantSplit/>
        </w:trPr>
        <w:tc>
          <w:tcPr>
            <w:tcW w:w="1622" w:type="dxa"/>
            <w:vAlign w:val="top"/>
            <w:vMerge w:val="continue"/>
            <w:textDirection w:val="lrTb"/>
            <w:noWrap w:val="false"/>
          </w:tcPr>
          <w:p>
            <w:pPr>
              <w:pStyle w:val="685"/>
              <w:spacing w:before="10" w:after="10" w:line="24" w:lineRule="atLeast"/>
              <w:rPr>
                <w:color w:val="FF0000"/>
              </w:rPr>
            </w:pPr>
            <w:r>
              <w:rPr>
                <w:color w:val="FF0000"/>
              </w:rPr>
            </w:r>
            <w:r/>
          </w:p>
        </w:tc>
        <w:tc>
          <w:tcPr>
            <w:tcW w:w="1842" w:type="dxa"/>
            <w:vAlign w:val="top"/>
            <w:vMerge w:val="continue"/>
            <w:textDirection w:val="lrTb"/>
            <w:noWrap w:val="false"/>
          </w:tcPr>
          <w:p>
            <w:pPr>
              <w:pStyle w:val="685"/>
              <w:spacing w:before="10" w:after="10" w:line="24" w:lineRule="atLeast"/>
              <w:rPr>
                <w:color w:val="FF0000"/>
              </w:rPr>
            </w:pPr>
            <w:r>
              <w:rPr>
                <w:color w:val="FF0000"/>
              </w:rPr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федеральный бюджет</w:t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36 254,4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</w:tr>
      <w:tr>
        <w:trPr>
          <w:cantSplit/>
        </w:trPr>
        <w:tc>
          <w:tcPr>
            <w:tcW w:w="1622" w:type="dxa"/>
            <w:vAlign w:val="top"/>
            <w:vMerge w:val="continue"/>
            <w:textDirection w:val="lrTb"/>
            <w:noWrap w:val="false"/>
          </w:tcPr>
          <w:p>
            <w:pPr>
              <w:pStyle w:val="685"/>
              <w:spacing w:before="10" w:after="10" w:line="24" w:lineRule="atLeast"/>
              <w:rPr>
                <w:color w:val="FF0000"/>
              </w:rPr>
            </w:pPr>
            <w:r>
              <w:rPr>
                <w:color w:val="FF0000"/>
              </w:rPr>
            </w:r>
            <w:r/>
          </w:p>
        </w:tc>
        <w:tc>
          <w:tcPr>
            <w:tcW w:w="1842" w:type="dxa"/>
            <w:vAlign w:val="top"/>
            <w:vMerge w:val="continue"/>
            <w:textDirection w:val="lrTb"/>
            <w:noWrap w:val="false"/>
          </w:tcPr>
          <w:p>
            <w:pPr>
              <w:pStyle w:val="685"/>
              <w:spacing w:before="10" w:after="10" w:line="24" w:lineRule="atLeast"/>
              <w:rPr>
                <w:color w:val="FF0000"/>
              </w:rPr>
            </w:pPr>
            <w:r>
              <w:rPr>
                <w:color w:val="FF0000"/>
              </w:rPr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областной бюджет</w:t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262 035,0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/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/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/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11 400</w:t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43 605</w:t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92 566</w:t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147 571</w:t>
            </w:r>
            <w:r/>
          </w:p>
        </w:tc>
      </w:tr>
      <w:tr>
        <w:trPr>
          <w:cantSplit/>
          <w:trHeight w:val="930"/>
        </w:trPr>
        <w:tc>
          <w:tcPr>
            <w:tcW w:w="1622" w:type="dxa"/>
            <w:vAlign w:val="top"/>
            <w:vMerge w:val="continue"/>
            <w:textDirection w:val="lrTb"/>
            <w:noWrap w:val="false"/>
          </w:tcPr>
          <w:p>
            <w:pPr>
              <w:pStyle w:val="685"/>
              <w:spacing w:before="10" w:after="10" w:line="24" w:lineRule="atLeast"/>
              <w:rPr>
                <w:color w:val="FF0000"/>
              </w:rPr>
            </w:pPr>
            <w:r>
              <w:rPr>
                <w:color w:val="FF0000"/>
              </w:rPr>
            </w:r>
            <w:r/>
          </w:p>
        </w:tc>
        <w:tc>
          <w:tcPr>
            <w:tcW w:w="1842" w:type="dxa"/>
            <w:vAlign w:val="top"/>
            <w:vMerge w:val="continue"/>
            <w:textDirection w:val="lrTb"/>
            <w:noWrap w:val="false"/>
          </w:tcPr>
          <w:p>
            <w:pPr>
              <w:pStyle w:val="685"/>
              <w:spacing w:before="10" w:after="10" w:line="24" w:lineRule="atLeast"/>
              <w:rPr>
                <w:color w:val="FF0000"/>
              </w:rPr>
            </w:pPr>
            <w:r>
              <w:rPr>
                <w:color w:val="FF0000"/>
              </w:rPr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консолидиро-ванные бюджеты муниципаль-ных образований</w:t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385 807,367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17 609,6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19 970,7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22 603</w:t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24 757,1</w:t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35 536,5</w:t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23 352,9</w:t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143 829,8</w:t>
            </w:r>
            <w:r/>
          </w:p>
        </w:tc>
      </w:tr>
      <w:tr>
        <w:trPr>
          <w:cantSplit/>
          <w:trHeight w:val="962"/>
        </w:trPr>
        <w:tc>
          <w:tcPr>
            <w:tcW w:w="1622" w:type="dxa"/>
            <w:vAlign w:val="top"/>
            <w:vMerge w:val="continue"/>
            <w:textDirection w:val="lrTb"/>
            <w:noWrap w:val="false"/>
          </w:tcPr>
          <w:p>
            <w:pPr>
              <w:pStyle w:val="685"/>
              <w:spacing w:before="10" w:after="10" w:line="24" w:lineRule="atLeast"/>
              <w:rPr>
                <w:color w:val="FF0000"/>
              </w:rPr>
            </w:pPr>
            <w:r>
              <w:rPr>
                <w:color w:val="FF0000"/>
              </w:rPr>
            </w:r>
            <w:r/>
          </w:p>
        </w:tc>
        <w:tc>
          <w:tcPr>
            <w:tcW w:w="1842" w:type="dxa"/>
            <w:vAlign w:val="top"/>
            <w:vMerge w:val="continue"/>
            <w:textDirection w:val="lrTb"/>
            <w:noWrap w:val="false"/>
          </w:tcPr>
          <w:p>
            <w:pPr>
              <w:pStyle w:val="685"/>
              <w:spacing w:before="10" w:after="10" w:line="24" w:lineRule="atLeast"/>
              <w:rPr>
                <w:color w:val="FF0000"/>
              </w:rPr>
            </w:pPr>
            <w:r>
              <w:rPr>
                <w:color w:val="FF0000"/>
              </w:rPr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территориаль-ные внебюджетные фонды</w:t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</w:tr>
      <w:tr>
        <w:trPr>
          <w:cantSplit/>
          <w:trHeight w:val="426"/>
        </w:trPr>
        <w:tc>
          <w:tcPr>
            <w:tcW w:w="1622" w:type="dxa"/>
            <w:vAlign w:val="center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color w:val="FF0000"/>
              </w:rPr>
            </w:pPr>
            <w:r>
              <w:rPr>
                <w:color w:val="FF0000"/>
              </w:rPr>
            </w:r>
            <w:r/>
          </w:p>
        </w:tc>
        <w:tc>
          <w:tcPr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color w:val="FF0000"/>
              </w:rPr>
            </w:pPr>
            <w:r>
              <w:rPr>
                <w:color w:val="FF0000"/>
              </w:rPr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иные источники</w:t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</w:tr>
      <w:tr>
        <w:trPr>
          <w:cantSplit/>
          <w:trHeight w:val="229"/>
        </w:trPr>
        <w:tc>
          <w:tcPr>
            <w:tcW w:w="1622" w:type="dxa"/>
            <w:vAlign w:val="center"/>
            <w:vMerge w:val="restart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widowControl w:val="off"/>
            </w:pPr>
            <w:r>
              <w:t xml:space="preserve">Основное мероприятие 1.1.</w:t>
            </w:r>
            <w:r/>
          </w:p>
          <w:p>
            <w:pPr>
              <w:pStyle w:val="685"/>
              <w:jc w:val="center"/>
              <w:spacing w:before="10" w:after="10" w:line="24" w:lineRule="atLeast"/>
              <w:widowControl w:val="off"/>
            </w:pPr>
            <w:r/>
            <w:r/>
          </w:p>
        </w:tc>
        <w:tc>
          <w:tcPr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«Содержание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 ремонт автомобильных дорог местного значения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и искусственных сооружений на них, относящихся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 улично-дорожной сети населенных пунктов городского округа»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Всего</w:t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684 096,767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17 609,6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19 970,7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22 603</w:t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36 157,1</w:t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79 141,5</w:t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115 918,9</w:t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291 400,8</w:t>
            </w:r>
            <w:r/>
          </w:p>
        </w:tc>
      </w:tr>
      <w:tr>
        <w:trPr>
          <w:cantSplit/>
          <w:trHeight w:val="51"/>
        </w:trPr>
        <w:tc>
          <w:tcPr>
            <w:tcW w:w="1622" w:type="dxa"/>
            <w:vAlign w:val="center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/>
            <w:r/>
          </w:p>
        </w:tc>
        <w:tc>
          <w:tcPr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/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федеральный бюджет</w:t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36 254,4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</w:tr>
      <w:tr>
        <w:trPr>
          <w:cantSplit/>
          <w:trHeight w:val="20"/>
        </w:trPr>
        <w:tc>
          <w:tcPr>
            <w:tcW w:w="1622" w:type="dxa"/>
            <w:vAlign w:val="center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/>
            <w:r/>
          </w:p>
        </w:tc>
        <w:tc>
          <w:tcPr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/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областной бюджет</w:t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262 035,0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/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/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/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11 400</w:t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43 605</w:t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92 566</w:t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147 571</w:t>
            </w:r>
            <w:r/>
          </w:p>
        </w:tc>
      </w:tr>
      <w:tr>
        <w:trPr>
          <w:cantSplit/>
          <w:trHeight w:val="962"/>
        </w:trPr>
        <w:tc>
          <w:tcPr>
            <w:tcW w:w="1622" w:type="dxa"/>
            <w:vAlign w:val="center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/>
            <w:r/>
          </w:p>
        </w:tc>
        <w:tc>
          <w:tcPr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/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консолидиро-ванные бюджеты муниципаль-ных образований</w:t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385 807,367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17 609,6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19 970,7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22 603</w:t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24 757,1</w:t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35 536,5</w:t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23 352,9</w:t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143 829,8</w:t>
            </w:r>
            <w:r/>
          </w:p>
        </w:tc>
      </w:tr>
      <w:tr>
        <w:trPr>
          <w:cantSplit/>
        </w:trPr>
        <w:tc>
          <w:tcPr>
            <w:tcW w:w="1622" w:type="dxa"/>
            <w:vAlign w:val="center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/>
            <w:r/>
          </w:p>
        </w:tc>
        <w:tc>
          <w:tcPr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/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территориаль-ные внебюджетные фонды</w:t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</w:tr>
      <w:tr>
        <w:trPr>
          <w:cantSplit/>
          <w:trHeight w:val="162"/>
        </w:trPr>
        <w:tc>
          <w:tcPr>
            <w:tcW w:w="1622" w:type="dxa"/>
            <w:vAlign w:val="center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/>
            <w:r/>
          </w:p>
        </w:tc>
        <w:tc>
          <w:tcPr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/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иные источники</w:t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</w:tr>
      <w:tr>
        <w:trPr>
          <w:cantSplit/>
          <w:trHeight w:val="219"/>
        </w:trPr>
        <w:tc>
          <w:tcPr>
            <w:tcW w:w="1622" w:type="dxa"/>
            <w:vAlign w:val="center"/>
            <w:vMerge w:val="restart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widowControl w:val="off"/>
            </w:pPr>
            <w:r>
              <w:t xml:space="preserve">Подпрограмма 2</w:t>
            </w:r>
            <w:r/>
          </w:p>
          <w:p>
            <w:pPr>
              <w:pStyle w:val="685"/>
              <w:jc w:val="center"/>
              <w:spacing w:before="10" w:after="10" w:line="24" w:lineRule="atLeast"/>
            </w:pPr>
            <w:r/>
            <w:r/>
          </w:p>
        </w:tc>
        <w:tc>
          <w:tcPr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«Совершенствова-ние и развитие транспортной системы Грайворонского городского округа»</w:t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Всего</w:t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86 702,27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4 756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4 756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6 056</w:t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6 056</w:t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6 055,9</w:t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7 300</w:t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34 979,9</w:t>
            </w:r>
            <w:r/>
          </w:p>
        </w:tc>
      </w:tr>
      <w:tr>
        <w:trPr>
          <w:cantSplit/>
          <w:trHeight w:val="502"/>
        </w:trPr>
        <w:tc>
          <w:tcPr>
            <w:tcW w:w="1622" w:type="dxa"/>
            <w:vAlign w:val="top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color w:val="FF0000"/>
              </w:rPr>
            </w:pPr>
            <w:r>
              <w:rPr>
                <w:color w:val="FF0000"/>
              </w:rPr>
            </w:r>
            <w:r/>
          </w:p>
        </w:tc>
        <w:tc>
          <w:tcPr>
            <w:tcW w:w="1842" w:type="dxa"/>
            <w:vAlign w:val="top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color w:val="FF0000"/>
              </w:rPr>
            </w:pPr>
            <w:r>
              <w:rPr>
                <w:color w:val="FF0000"/>
              </w:rPr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федеральный бюджет</w:t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</w:tr>
      <w:tr>
        <w:trPr>
          <w:cantSplit/>
          <w:trHeight w:val="466"/>
        </w:trPr>
        <w:tc>
          <w:tcPr>
            <w:tcW w:w="1622" w:type="dxa"/>
            <w:vAlign w:val="top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color w:val="FF0000"/>
              </w:rPr>
            </w:pPr>
            <w:r>
              <w:rPr>
                <w:color w:val="FF0000"/>
              </w:rPr>
            </w:r>
            <w:r/>
          </w:p>
        </w:tc>
        <w:tc>
          <w:tcPr>
            <w:tcW w:w="1842" w:type="dxa"/>
            <w:vAlign w:val="top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color w:val="FF0000"/>
              </w:rPr>
            </w:pPr>
            <w:r>
              <w:rPr>
                <w:color w:val="FF0000"/>
              </w:rPr>
            </w:r>
            <w:r/>
          </w:p>
        </w:tc>
        <w:tc>
          <w:tcPr>
            <w:tcW w:w="1418" w:type="dxa"/>
            <w:vAlign w:val="top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областной бюджет</w:t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32,4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</w:tr>
      <w:tr>
        <w:trPr>
          <w:cantSplit/>
          <w:trHeight w:val="1002"/>
        </w:trPr>
        <w:tc>
          <w:tcPr>
            <w:tcW w:w="1622" w:type="dxa"/>
            <w:vAlign w:val="top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color w:val="FF0000"/>
              </w:rPr>
            </w:pPr>
            <w:r>
              <w:rPr>
                <w:color w:val="FF0000"/>
              </w:rPr>
            </w:r>
            <w:r/>
          </w:p>
        </w:tc>
        <w:tc>
          <w:tcPr>
            <w:tcW w:w="1842" w:type="dxa"/>
            <w:vAlign w:val="top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color w:val="FF0000"/>
              </w:rPr>
            </w:pPr>
            <w:r>
              <w:rPr>
                <w:color w:val="FF0000"/>
              </w:rPr>
            </w:r>
            <w:r/>
          </w:p>
        </w:tc>
        <w:tc>
          <w:tcPr>
            <w:tcW w:w="1418" w:type="dxa"/>
            <w:vAlign w:val="top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консолидиро-ванные бюджеты муниципаль-ных образований</w:t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86 669,87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4 756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4 756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6 056</w:t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6 056</w:t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6 055,9</w:t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7 300</w:t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34 979,9</w:t>
            </w:r>
            <w:r/>
          </w:p>
        </w:tc>
      </w:tr>
      <w:tr>
        <w:trPr>
          <w:cantSplit/>
          <w:trHeight w:val="748"/>
        </w:trPr>
        <w:tc>
          <w:tcPr>
            <w:tcW w:w="1622" w:type="dxa"/>
            <w:vAlign w:val="top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color w:val="FF0000"/>
              </w:rPr>
            </w:pPr>
            <w:r>
              <w:rPr>
                <w:color w:val="FF0000"/>
              </w:rPr>
            </w:r>
            <w:r/>
          </w:p>
        </w:tc>
        <w:tc>
          <w:tcPr>
            <w:tcW w:w="1842" w:type="dxa"/>
            <w:vAlign w:val="top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color w:val="FF0000"/>
              </w:rPr>
            </w:pPr>
            <w:r>
              <w:rPr>
                <w:color w:val="FF0000"/>
              </w:rPr>
            </w:r>
            <w:r/>
          </w:p>
        </w:tc>
        <w:tc>
          <w:tcPr>
            <w:tcW w:w="1418" w:type="dxa"/>
            <w:vAlign w:val="top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территориаль-ные внебюджетные фонды</w:t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</w:tr>
      <w:tr>
        <w:trPr>
          <w:cantSplit/>
          <w:trHeight w:val="297"/>
        </w:trPr>
        <w:tc>
          <w:tcPr>
            <w:tcW w:w="1622" w:type="dxa"/>
            <w:vAlign w:val="top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color w:val="FF0000"/>
              </w:rPr>
            </w:pPr>
            <w:r>
              <w:rPr>
                <w:color w:val="FF0000"/>
              </w:rPr>
            </w:r>
            <w:r/>
          </w:p>
        </w:tc>
        <w:tc>
          <w:tcPr>
            <w:tcW w:w="1842" w:type="dxa"/>
            <w:vAlign w:val="top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color w:val="FF0000"/>
              </w:rPr>
            </w:pPr>
            <w:r>
              <w:rPr>
                <w:color w:val="FF0000"/>
              </w:rPr>
            </w:r>
            <w:r/>
          </w:p>
        </w:tc>
        <w:tc>
          <w:tcPr>
            <w:tcW w:w="1418" w:type="dxa"/>
            <w:vAlign w:val="top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иные источники</w:t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</w:tr>
      <w:tr>
        <w:trPr>
          <w:cantSplit/>
          <w:trHeight w:val="314"/>
        </w:trPr>
        <w:tc>
          <w:tcPr>
            <w:tcW w:w="1622" w:type="dxa"/>
            <w:vAlign w:val="center"/>
            <w:vMerge w:val="restart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widowControl w:val="off"/>
            </w:pPr>
            <w:r>
              <w:t xml:space="preserve">Основное мероприятие 2.1.</w:t>
            </w:r>
            <w:r/>
          </w:p>
        </w:tc>
        <w:tc>
          <w:tcPr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Дотации</w:t>
            </w:r>
            <w:r/>
          </w:p>
          <w:p>
            <w:pPr>
              <w:pStyle w:val="685"/>
              <w:jc w:val="center"/>
              <w:spacing w:before="10" w:after="10" w:line="24" w:lineRule="atLeast"/>
            </w:pPr>
            <w:r>
              <w:t xml:space="preserve">на покрытие убытков </w:t>
            </w:r>
            <w:r>
              <w:br/>
            </w:r>
            <w:r>
              <w:t xml:space="preserve">по организации транспортного обслуживания</w:t>
            </w:r>
            <w:r/>
          </w:p>
          <w:p>
            <w:pPr>
              <w:pStyle w:val="685"/>
              <w:jc w:val="center"/>
              <w:spacing w:before="10" w:after="10" w:line="24" w:lineRule="atLeast"/>
            </w:pPr>
            <w:r>
              <w:t xml:space="preserve">на внутримуници-пальном пригородном сообщении</w:t>
            </w:r>
            <w:r/>
          </w:p>
        </w:tc>
        <w:tc>
          <w:tcPr>
            <w:tcW w:w="1418" w:type="dxa"/>
            <w:vAlign w:val="top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Всего</w:t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86 702,27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4 756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4 756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6 056</w:t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6 056</w:t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6 055,9</w:t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7 300</w:t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34 979,9</w:t>
            </w:r>
            <w:r/>
          </w:p>
        </w:tc>
      </w:tr>
      <w:tr>
        <w:trPr>
          <w:cantSplit/>
          <w:trHeight w:val="506"/>
        </w:trPr>
        <w:tc>
          <w:tcPr>
            <w:tcW w:w="1622" w:type="dxa"/>
            <w:vAlign w:val="top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color w:val="FF0000"/>
              </w:rPr>
            </w:pPr>
            <w:r>
              <w:rPr>
                <w:color w:val="FF0000"/>
              </w:rPr>
            </w:r>
            <w:r/>
          </w:p>
        </w:tc>
        <w:tc>
          <w:tcPr>
            <w:tcW w:w="1842" w:type="dxa"/>
            <w:vAlign w:val="top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color w:val="FF0000"/>
              </w:rPr>
            </w:pPr>
            <w:r>
              <w:rPr>
                <w:color w:val="FF0000"/>
              </w:rPr>
            </w:r>
            <w:r/>
          </w:p>
        </w:tc>
        <w:tc>
          <w:tcPr>
            <w:tcW w:w="1418" w:type="dxa"/>
            <w:vAlign w:val="top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федеральный бюджет</w:t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</w:tr>
      <w:tr>
        <w:trPr>
          <w:cantSplit/>
          <w:trHeight w:val="603"/>
        </w:trPr>
        <w:tc>
          <w:tcPr>
            <w:tcW w:w="1622" w:type="dxa"/>
            <w:vAlign w:val="top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color w:val="FF0000"/>
              </w:rPr>
            </w:pPr>
            <w:r>
              <w:rPr>
                <w:color w:val="FF0000"/>
              </w:rPr>
            </w:r>
            <w:r/>
          </w:p>
        </w:tc>
        <w:tc>
          <w:tcPr>
            <w:tcW w:w="1842" w:type="dxa"/>
            <w:vAlign w:val="top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color w:val="FF0000"/>
              </w:rPr>
            </w:pPr>
            <w:r>
              <w:rPr>
                <w:color w:val="FF0000"/>
              </w:rPr>
            </w:r>
            <w:r/>
          </w:p>
        </w:tc>
        <w:tc>
          <w:tcPr>
            <w:tcW w:w="1418" w:type="dxa"/>
            <w:vAlign w:val="top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областной бюджет</w:t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32,4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</w:tr>
      <w:tr>
        <w:trPr>
          <w:cantSplit/>
          <w:trHeight w:val="1045"/>
        </w:trPr>
        <w:tc>
          <w:tcPr>
            <w:tcW w:w="1622" w:type="dxa"/>
            <w:vAlign w:val="top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color w:val="FF0000"/>
              </w:rPr>
            </w:pPr>
            <w:r>
              <w:rPr>
                <w:color w:val="FF0000"/>
              </w:rPr>
            </w:r>
            <w:r/>
          </w:p>
        </w:tc>
        <w:tc>
          <w:tcPr>
            <w:tcW w:w="1842" w:type="dxa"/>
            <w:vAlign w:val="top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color w:val="FF0000"/>
              </w:rPr>
            </w:pPr>
            <w:r>
              <w:rPr>
                <w:color w:val="FF0000"/>
              </w:rPr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консолидиро-ванные бюджеты муниципаль-ных образований</w:t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86 669,87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4 756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4 756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6 056</w:t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6 056</w:t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6 055,9</w:t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7 300</w:t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34 979,9</w:t>
            </w:r>
            <w:r/>
          </w:p>
        </w:tc>
      </w:tr>
      <w:tr>
        <w:trPr>
          <w:cantSplit/>
          <w:trHeight w:val="1043"/>
        </w:trPr>
        <w:tc>
          <w:tcPr>
            <w:tcW w:w="1622" w:type="dxa"/>
            <w:vAlign w:val="top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color w:val="FF0000"/>
              </w:rPr>
            </w:pPr>
            <w:r>
              <w:rPr>
                <w:color w:val="FF0000"/>
              </w:rPr>
            </w:r>
            <w:r/>
          </w:p>
        </w:tc>
        <w:tc>
          <w:tcPr>
            <w:tcW w:w="1842" w:type="dxa"/>
            <w:vAlign w:val="top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color w:val="FF0000"/>
              </w:rPr>
            </w:pPr>
            <w:r>
              <w:rPr>
                <w:color w:val="FF0000"/>
              </w:rPr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территориаль-ные внебюджетные фонды</w:t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</w:tr>
      <w:tr>
        <w:trPr>
          <w:cantSplit/>
          <w:trHeight w:val="495"/>
        </w:trPr>
        <w:tc>
          <w:tcPr>
            <w:tcW w:w="1622" w:type="dxa"/>
            <w:vAlign w:val="top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color w:val="FF0000"/>
              </w:rPr>
            </w:pPr>
            <w:r>
              <w:rPr>
                <w:color w:val="FF0000"/>
              </w:rPr>
            </w:r>
            <w:r/>
          </w:p>
        </w:tc>
        <w:tc>
          <w:tcPr>
            <w:tcW w:w="1842" w:type="dxa"/>
            <w:vAlign w:val="top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color w:val="FF0000"/>
              </w:rPr>
            </w:pPr>
            <w:r>
              <w:rPr>
                <w:color w:val="FF0000"/>
              </w:rPr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иные источники</w:t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</w:tr>
    </w:tbl>
    <w:p>
      <w:pPr>
        <w:pStyle w:val="685"/>
        <w:ind w:left="4820"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</w:r>
      <w:r/>
    </w:p>
    <w:p>
      <w:pPr>
        <w:pStyle w:val="707"/>
        <w:jc w:val="center"/>
        <w:rPr>
          <w:rFonts w:ascii="Times New Roman" w:hAnsi="Times New Roman"/>
          <w:b/>
          <w:sz w:val="28"/>
          <w:szCs w:val="28"/>
        </w:rPr>
      </w:pPr>
      <w:r>
        <w:rPr>
          <w:b/>
          <w:color w:val="FF0000"/>
          <w:sz w:val="28"/>
          <w:szCs w:val="28"/>
        </w:rPr>
        <w:br w:type="page"/>
      </w:r>
      <w:r>
        <w:rPr>
          <w:rFonts w:ascii="Times New Roman" w:hAnsi="Times New Roman"/>
          <w:b/>
          <w:sz w:val="28"/>
          <w:szCs w:val="28"/>
        </w:rPr>
        <w:t xml:space="preserve">РЕСУРСНОЕ ОБЕСПЕЧЕНИЕ И ПРОГНОЗНАЯ (СПРАВОЧНАЯ) ОЦЕНКА</w:t>
      </w:r>
      <w:r/>
    </w:p>
    <w:p>
      <w:pPr>
        <w:pStyle w:val="70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расходов на реализацию основных мероприятий (мероприятий) муниципальной программы</w:t>
      </w:r>
      <w:r>
        <w:rPr>
          <w:rFonts w:ascii="Times New Roman" w:hAnsi="Times New Roman"/>
          <w:b/>
          <w:sz w:val="28"/>
          <w:szCs w:val="28"/>
        </w:rPr>
        <w:t xml:space="preserve"> Грайворонского </w:t>
      </w:r>
      <w:r>
        <w:rPr>
          <w:rFonts w:ascii="Times New Roman" w:hAnsi="Times New Roman"/>
          <w:b/>
          <w:sz w:val="28"/>
          <w:szCs w:val="28"/>
        </w:rPr>
        <w:t xml:space="preserve"> городского округа из различных источников финансирования </w:t>
      </w:r>
      <w:r/>
    </w:p>
    <w:p>
      <w:pPr>
        <w:pStyle w:val="70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2-м этапе реализации</w:t>
      </w:r>
      <w:r/>
    </w:p>
    <w:p>
      <w:pPr>
        <w:pStyle w:val="707"/>
        <w:ind w:right="-142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Таблица № 2</w:t>
      </w:r>
      <w:r/>
    </w:p>
    <w:p>
      <w:pPr>
        <w:pStyle w:val="707"/>
        <w:ind w:right="-142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/>
    </w:p>
    <w:tbl>
      <w:tblPr>
        <w:tblW w:w="1508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1480"/>
        <w:gridCol w:w="2268"/>
        <w:gridCol w:w="1843"/>
        <w:gridCol w:w="1842"/>
        <w:gridCol w:w="1276"/>
        <w:gridCol w:w="1276"/>
        <w:gridCol w:w="1134"/>
        <w:gridCol w:w="1417"/>
        <w:gridCol w:w="1276"/>
        <w:gridCol w:w="1276"/>
      </w:tblGrid>
      <w:tr>
        <w:trPr>
          <w:cantSplit/>
          <w:tblHeader/>
        </w:trPr>
        <w:tc>
          <w:tcPr>
            <w:tcW w:w="1480" w:type="dxa"/>
            <w:vAlign w:val="center"/>
            <w:vMerge w:val="restart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Статус</w:t>
            </w:r>
            <w:r/>
          </w:p>
        </w:tc>
        <w:tc>
          <w:tcPr>
            <w:tcW w:w="2268" w:type="dxa"/>
            <w:vAlign w:val="center"/>
            <w:vMerge w:val="restart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Наименование муниципальной программы, подпрограммы, основного мероприятия</w:t>
            </w:r>
            <w:r/>
          </w:p>
        </w:tc>
        <w:tc>
          <w:tcPr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Источники финансирования</w:t>
            </w:r>
            <w:r/>
          </w:p>
        </w:tc>
        <w:tc>
          <w:tcPr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Общий объем финансирования, тыс. рублей</w:t>
            </w:r>
            <w:r/>
          </w:p>
        </w:tc>
        <w:tc>
          <w:tcPr>
            <w:gridSpan w:val="5"/>
            <w:tcW w:w="6379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Расходы (тыс. рублей), годы</w:t>
            </w:r>
            <w:r/>
          </w:p>
        </w:tc>
        <w:tc>
          <w:tcP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Итого 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на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HYPERLINK \l "P552"</w:instrText>
            </w:r>
            <w:r>
              <w:rPr>
                <w:b/>
              </w:rPr>
              <w:fldChar w:fldCharType="separate"/>
            </w:r>
            <w:r>
              <w:rPr>
                <w:rFonts w:ascii="Times New Roman" w:hAnsi="Times New Roman"/>
                <w:b/>
              </w:rPr>
              <w:t xml:space="preserve">2-м</w:t>
            </w:r>
            <w:r>
              <w:rPr>
                <w:b/>
              </w:rPr>
              <w:fldChar w:fldCharType="end"/>
            </w:r>
            <w:r>
              <w:rPr>
                <w:rFonts w:ascii="Times New Roman" w:hAnsi="Times New Roman"/>
                <w:b/>
              </w:rPr>
              <w:t xml:space="preserve"> этапе (годы реализации)</w:t>
            </w:r>
            <w:r/>
          </w:p>
        </w:tc>
      </w:tr>
      <w:tr>
        <w:trPr>
          <w:cantSplit/>
          <w:trHeight w:val="830"/>
          <w:tblHeader/>
        </w:trPr>
        <w:tc>
          <w:tcPr>
            <w:tcW w:w="1480" w:type="dxa"/>
            <w:vAlign w:val="top"/>
            <w:vMerge w:val="continue"/>
            <w:textDirection w:val="lrTb"/>
            <w:noWrap w:val="false"/>
          </w:tcPr>
          <w:p>
            <w:pPr>
              <w:pStyle w:val="685"/>
              <w:spacing w:before="10" w:after="10" w:line="24" w:lineRule="atLeast"/>
            </w:pPr>
            <w:r/>
            <w:r/>
          </w:p>
        </w:tc>
        <w:tc>
          <w:tcPr>
            <w:tcW w:w="2268" w:type="dxa"/>
            <w:vAlign w:val="top"/>
            <w:vMerge w:val="continue"/>
            <w:textDirection w:val="lrTb"/>
            <w:noWrap w:val="false"/>
          </w:tcPr>
          <w:p>
            <w:pPr>
              <w:pStyle w:val="685"/>
              <w:spacing w:before="10" w:after="10" w:line="24" w:lineRule="atLeast"/>
            </w:pPr>
            <w:r/>
            <w:r/>
          </w:p>
        </w:tc>
        <w:tc>
          <w:tcPr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/>
            <w:r/>
          </w:p>
        </w:tc>
        <w:tc>
          <w:tcPr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/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2021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2022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2023</w:t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2024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2025</w:t>
            </w:r>
            <w:r/>
          </w:p>
        </w:tc>
        <w:tc>
          <w:tcPr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/>
            <w:r/>
          </w:p>
        </w:tc>
      </w:tr>
      <w:tr>
        <w:trPr>
          <w:trHeight w:val="221"/>
          <w:tblHeader/>
        </w:trPr>
        <w:tc>
          <w:tcPr>
            <w:tcW w:w="1480" w:type="dxa"/>
            <w:vAlign w:val="top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</w:t>
            </w:r>
            <w:r/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</w:t>
            </w:r>
            <w:r/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</w:t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11</w:t>
            </w:r>
            <w:r/>
          </w:p>
        </w:tc>
      </w:tr>
      <w:tr>
        <w:trPr>
          <w:cantSplit/>
          <w:trHeight w:val="249"/>
        </w:trPr>
        <w:tc>
          <w:tcPr>
            <w:tcW w:w="1480" w:type="dxa"/>
            <w:vAlign w:val="center"/>
            <w:vMerge w:val="restart"/>
            <w:textDirection w:val="lrTb"/>
            <w:noWrap w:val="false"/>
          </w:tcPr>
          <w:p>
            <w:pPr>
              <w:pStyle w:val="685"/>
              <w:ind w:right="-30"/>
              <w:jc w:val="center"/>
              <w:spacing w:before="10" w:after="10" w:line="24" w:lineRule="atLeast"/>
            </w:pPr>
            <w:r>
              <w:t xml:space="preserve">Муниципальная программа</w:t>
            </w:r>
            <w:r/>
          </w:p>
          <w:p>
            <w:pPr>
              <w:pStyle w:val="685"/>
              <w:ind w:right="-30"/>
              <w:jc w:val="center"/>
              <w:spacing w:before="10" w:after="10" w:line="24" w:lineRule="atLeast"/>
            </w:pPr>
            <w:r/>
            <w:r/>
          </w:p>
        </w:tc>
        <w:tc>
          <w:tcPr>
            <w:tcW w:w="2268" w:type="dxa"/>
            <w:vAlign w:val="center"/>
            <w:vMerge w:val="restart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widowControl w:val="off"/>
            </w:pPr>
            <w:r>
              <w:t xml:space="preserve">«Совершенствование</w:t>
            </w:r>
            <w:r/>
          </w:p>
          <w:p>
            <w:pPr>
              <w:pStyle w:val="685"/>
              <w:jc w:val="center"/>
              <w:spacing w:before="10" w:after="10" w:line="24" w:lineRule="atLeast"/>
              <w:widowControl w:val="off"/>
            </w:pPr>
            <w:r>
              <w:t xml:space="preserve">и развитие</w:t>
            </w:r>
            <w:r/>
          </w:p>
          <w:p>
            <w:pPr>
              <w:pStyle w:val="685"/>
              <w:jc w:val="center"/>
              <w:spacing w:before="10" w:after="10" w:line="24" w:lineRule="atLeast"/>
              <w:widowControl w:val="off"/>
            </w:pPr>
            <w:r>
              <w:t xml:space="preserve">транспортной системы</w:t>
            </w:r>
            <w:r/>
          </w:p>
          <w:p>
            <w:pPr>
              <w:pStyle w:val="685"/>
              <w:jc w:val="center"/>
              <w:spacing w:before="10" w:after="10" w:line="24" w:lineRule="atLeast"/>
              <w:widowControl w:val="off"/>
            </w:pPr>
            <w:r>
              <w:t xml:space="preserve">и дорожной сети Грайворонского городского округа»</w:t>
            </w:r>
            <w:r/>
          </w:p>
          <w:p>
            <w:pPr>
              <w:pStyle w:val="685"/>
              <w:jc w:val="center"/>
              <w:spacing w:before="10" w:after="10" w:line="24" w:lineRule="atLeast"/>
              <w:widowControl w:val="off"/>
            </w:pPr>
            <w:r/>
            <w:r/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Всего</w:t>
            </w:r>
            <w:r/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770 798,937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149 741,4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100 456,237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106 559,3</w:t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47 312,3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40 349,0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444 418,237</w:t>
            </w:r>
            <w:r/>
          </w:p>
        </w:tc>
      </w:tr>
      <w:tr>
        <w:trPr>
          <w:cantSplit/>
          <w:trHeight w:val="239"/>
        </w:trPr>
        <w:tc>
          <w:tcPr>
            <w:tcW w:w="1480" w:type="dxa"/>
            <w:vAlign w:val="center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/>
            <w:r/>
          </w:p>
        </w:tc>
        <w:tc>
          <w:tcPr>
            <w:tcW w:w="2268" w:type="dxa"/>
            <w:vAlign w:val="center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/>
            <w:r/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федеральный бюджет</w:t>
            </w:r>
            <w:r/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36 254,4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36 254,4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36 254,4</w:t>
            </w:r>
            <w:r/>
          </w:p>
        </w:tc>
      </w:tr>
      <w:tr>
        <w:trPr>
          <w:cantSplit/>
        </w:trPr>
        <w:tc>
          <w:tcPr>
            <w:tcW w:w="1480" w:type="dxa"/>
            <w:vAlign w:val="center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/>
            <w:r/>
          </w:p>
        </w:tc>
        <w:tc>
          <w:tcPr>
            <w:tcW w:w="2268" w:type="dxa"/>
            <w:vAlign w:val="center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/>
            <w:r/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областной бюджет</w:t>
            </w:r>
            <w:r/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262 059,3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101 006,0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13 458,0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8,1</w:t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8,1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8,1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114 488,3</w:t>
            </w:r>
            <w:r/>
          </w:p>
        </w:tc>
      </w:tr>
      <w:tr>
        <w:trPr>
          <w:cantSplit/>
          <w:trHeight w:val="496"/>
        </w:trPr>
        <w:tc>
          <w:tcPr>
            <w:tcW w:w="1480" w:type="dxa"/>
            <w:vAlign w:val="center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/>
            <w:r/>
          </w:p>
        </w:tc>
        <w:tc>
          <w:tcPr>
            <w:tcW w:w="2268" w:type="dxa"/>
            <w:vAlign w:val="center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/>
            <w:r/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консолидирован-ные бюджеты муниципальных образований</w:t>
            </w:r>
            <w:r/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472 485,337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48 735,4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50 743,837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106 551,2</w:t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47 304,2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40 341,0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293 675,637</w:t>
            </w:r>
            <w:r/>
            <w:r/>
          </w:p>
        </w:tc>
      </w:tr>
      <w:tr>
        <w:trPr>
          <w:cantSplit/>
          <w:trHeight w:val="612"/>
        </w:trPr>
        <w:tc>
          <w:tcPr>
            <w:tcW w:w="1480" w:type="dxa"/>
            <w:vAlign w:val="center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/>
            <w:r/>
          </w:p>
        </w:tc>
        <w:tc>
          <w:tcPr>
            <w:tcW w:w="2268" w:type="dxa"/>
            <w:vAlign w:val="center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/>
            <w:r/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территориальные внебюджетные фонды</w:t>
            </w:r>
            <w:r/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</w:tr>
      <w:tr>
        <w:trPr>
          <w:cantSplit/>
        </w:trPr>
        <w:tc>
          <w:tcPr>
            <w:tcW w:w="1480" w:type="dxa"/>
            <w:vAlign w:val="center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/>
            <w:r/>
          </w:p>
        </w:tc>
        <w:tc>
          <w:tcPr>
            <w:tcW w:w="2268" w:type="dxa"/>
            <w:vAlign w:val="center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/>
            <w:r/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иные источники</w:t>
            </w:r>
            <w:r>
              <w:rPr>
                <w:rFonts w:ascii="Times New Roman" w:hAnsi="Times New Roman"/>
              </w:rPr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</w:tr>
      <w:tr>
        <w:trPr>
          <w:cantSplit/>
          <w:trHeight w:val="114"/>
        </w:trPr>
        <w:tc>
          <w:tcPr>
            <w:tcW w:w="1480" w:type="dxa"/>
            <w:vAlign w:val="center"/>
            <w:vMerge w:val="restart"/>
            <w:textDirection w:val="lrTb"/>
            <w:noWrap w:val="false"/>
          </w:tcPr>
          <w:p>
            <w:pPr>
              <w:pStyle w:val="685"/>
              <w:ind w:right="-30"/>
              <w:jc w:val="center"/>
              <w:spacing w:before="10" w:after="10" w:line="24" w:lineRule="atLeast"/>
            </w:pPr>
            <w:r>
              <w:t xml:space="preserve">Подпрограмма 1</w:t>
            </w:r>
            <w:r/>
          </w:p>
        </w:tc>
        <w:tc>
          <w:tcPr>
            <w:tcW w:w="2268" w:type="dxa"/>
            <w:vAlign w:val="center"/>
            <w:vMerge w:val="restart"/>
            <w:textDirection w:val="lrTb"/>
            <w:noWrap w:val="false"/>
          </w:tcPr>
          <w:p>
            <w:pPr>
              <w:pStyle w:val="685"/>
              <w:ind w:right="-30"/>
              <w:jc w:val="center"/>
              <w:spacing w:before="10" w:after="10" w:line="24" w:lineRule="atLeast"/>
            </w:pPr>
            <w:r>
              <w:t xml:space="preserve">«Совершенствование </w:t>
            </w:r>
            <w:r>
              <w:br/>
            </w:r>
            <w:r>
              <w:t xml:space="preserve">и развитие дорожной сети»</w:t>
            </w:r>
            <w:r/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Всего</w:t>
            </w:r>
            <w:r/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684 096,767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140 437,4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89 577,767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96 046,0</w:t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36 799,0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29 835,8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392 695,967</w:t>
            </w:r>
            <w:r/>
          </w:p>
        </w:tc>
      </w:tr>
      <w:tr>
        <w:trPr>
          <w:cantSplit/>
          <w:trHeight w:val="219"/>
        </w:trPr>
        <w:tc>
          <w:tcPr>
            <w:tcW w:w="1480" w:type="dxa"/>
            <w:vAlign w:val="top"/>
            <w:vMerge w:val="continue"/>
            <w:textDirection w:val="lrTb"/>
            <w:noWrap w:val="false"/>
          </w:tcPr>
          <w:p>
            <w:pPr>
              <w:pStyle w:val="685"/>
              <w:spacing w:before="10" w:after="10" w:line="24" w:lineRule="atLeast"/>
              <w:rPr>
                <w:color w:val="FF0000"/>
              </w:rPr>
            </w:pPr>
            <w:r>
              <w:rPr>
                <w:color w:val="FF0000"/>
              </w:rPr>
            </w:r>
            <w:r/>
          </w:p>
        </w:tc>
        <w:tc>
          <w:tcPr>
            <w:tcW w:w="2268" w:type="dxa"/>
            <w:vAlign w:val="top"/>
            <w:vMerge w:val="continue"/>
            <w:textDirection w:val="lrTb"/>
            <w:noWrap w:val="false"/>
          </w:tcPr>
          <w:p>
            <w:pPr>
              <w:pStyle w:val="685"/>
              <w:spacing w:before="10" w:after="10" w:line="24" w:lineRule="atLeast"/>
              <w:rPr>
                <w:color w:val="FF0000"/>
              </w:rPr>
            </w:pPr>
            <w:r>
              <w:rPr>
                <w:color w:val="FF0000"/>
              </w:rPr>
            </w:r>
            <w:r/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федеральный бюджет</w:t>
            </w:r>
            <w:r/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36 254,4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36 254,4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36 254,4</w:t>
            </w:r>
            <w:r/>
          </w:p>
        </w:tc>
      </w:tr>
      <w:tr>
        <w:trPr>
          <w:cantSplit/>
          <w:trHeight w:val="87"/>
        </w:trPr>
        <w:tc>
          <w:tcPr>
            <w:tcW w:w="1480" w:type="dxa"/>
            <w:vAlign w:val="top"/>
            <w:vMerge w:val="continue"/>
            <w:textDirection w:val="lrTb"/>
            <w:noWrap w:val="false"/>
          </w:tcPr>
          <w:p>
            <w:pPr>
              <w:pStyle w:val="685"/>
              <w:spacing w:before="10" w:after="10" w:line="24" w:lineRule="atLeast"/>
              <w:rPr>
                <w:color w:val="FF0000"/>
              </w:rPr>
            </w:pPr>
            <w:r>
              <w:rPr>
                <w:color w:val="FF0000"/>
              </w:rPr>
            </w:r>
            <w:r/>
          </w:p>
        </w:tc>
        <w:tc>
          <w:tcPr>
            <w:tcW w:w="2268" w:type="dxa"/>
            <w:vAlign w:val="top"/>
            <w:vMerge w:val="continue"/>
            <w:textDirection w:val="lrTb"/>
            <w:noWrap w:val="false"/>
          </w:tcPr>
          <w:p>
            <w:pPr>
              <w:pStyle w:val="685"/>
              <w:spacing w:before="10" w:after="10" w:line="24" w:lineRule="atLeast"/>
              <w:rPr>
                <w:color w:val="FF0000"/>
              </w:rPr>
            </w:pPr>
            <w:r>
              <w:rPr>
                <w:color w:val="FF0000"/>
              </w:rPr>
            </w:r>
            <w:r/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областной бюджет</w:t>
            </w:r>
            <w:r/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262 035,0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101 006,0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13 458,0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/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/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/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114 464,0</w:t>
            </w:r>
            <w:r/>
          </w:p>
        </w:tc>
      </w:tr>
      <w:tr>
        <w:trPr>
          <w:cantSplit/>
          <w:trHeight w:val="774"/>
        </w:trPr>
        <w:tc>
          <w:tcPr>
            <w:tcW w:w="1480" w:type="dxa"/>
            <w:vAlign w:val="top"/>
            <w:vMerge w:val="continue"/>
            <w:textDirection w:val="lrTb"/>
            <w:noWrap w:val="false"/>
          </w:tcPr>
          <w:p>
            <w:pPr>
              <w:pStyle w:val="685"/>
              <w:spacing w:before="10" w:after="10" w:line="24" w:lineRule="atLeast"/>
              <w:rPr>
                <w:color w:val="FF0000"/>
              </w:rPr>
            </w:pPr>
            <w:r>
              <w:rPr>
                <w:color w:val="FF0000"/>
              </w:rPr>
            </w:r>
            <w:r/>
          </w:p>
        </w:tc>
        <w:tc>
          <w:tcPr>
            <w:tcW w:w="2268" w:type="dxa"/>
            <w:vAlign w:val="top"/>
            <w:vMerge w:val="continue"/>
            <w:textDirection w:val="lrTb"/>
            <w:noWrap w:val="false"/>
          </w:tcPr>
          <w:p>
            <w:pPr>
              <w:pStyle w:val="685"/>
              <w:spacing w:before="10" w:after="10" w:line="24" w:lineRule="atLeast"/>
              <w:rPr>
                <w:color w:val="FF0000"/>
              </w:rPr>
            </w:pPr>
            <w:r>
              <w:rPr>
                <w:color w:val="FF0000"/>
              </w:rPr>
            </w:r>
            <w:r/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</w:t>
            </w:r>
            <w:r>
              <w:rPr>
                <w:rFonts w:ascii="Times New Roman" w:hAnsi="Times New Roman"/>
              </w:rPr>
              <w:t xml:space="preserve">онсолидирован-ные бюджеты муниципальных образований</w:t>
            </w:r>
            <w:r/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385 807,367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39 431,4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39 865,367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96 046,0</w:t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36 799,0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29 835,8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241 977,567</w:t>
            </w:r>
            <w:r/>
          </w:p>
        </w:tc>
      </w:tr>
      <w:tr>
        <w:trPr>
          <w:cantSplit/>
          <w:trHeight w:val="309"/>
        </w:trPr>
        <w:tc>
          <w:tcPr>
            <w:tcW w:w="1480" w:type="dxa"/>
            <w:vAlign w:val="top"/>
            <w:vMerge w:val="continue"/>
            <w:textDirection w:val="lrTb"/>
            <w:noWrap w:val="false"/>
          </w:tcPr>
          <w:p>
            <w:pPr>
              <w:pStyle w:val="685"/>
              <w:spacing w:before="10" w:after="10" w:line="24" w:lineRule="atLeast"/>
              <w:rPr>
                <w:color w:val="FF0000"/>
              </w:rPr>
            </w:pPr>
            <w:r>
              <w:rPr>
                <w:color w:val="FF0000"/>
              </w:rPr>
            </w:r>
            <w:r/>
          </w:p>
        </w:tc>
        <w:tc>
          <w:tcPr>
            <w:tcW w:w="2268" w:type="dxa"/>
            <w:vAlign w:val="top"/>
            <w:vMerge w:val="continue"/>
            <w:textDirection w:val="lrTb"/>
            <w:noWrap w:val="false"/>
          </w:tcPr>
          <w:p>
            <w:pPr>
              <w:pStyle w:val="685"/>
              <w:spacing w:before="10" w:after="10" w:line="24" w:lineRule="atLeast"/>
              <w:rPr>
                <w:color w:val="FF0000"/>
              </w:rPr>
            </w:pPr>
            <w:r>
              <w:rPr>
                <w:color w:val="FF0000"/>
              </w:rPr>
            </w:r>
            <w:r/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территориальные внебюджетные фонды</w:t>
            </w:r>
            <w:r/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</w:tr>
      <w:tr>
        <w:trPr>
          <w:cantSplit/>
          <w:trHeight w:val="158"/>
        </w:trPr>
        <w:tc>
          <w:tcPr>
            <w:tcW w:w="1480" w:type="dxa"/>
            <w:vAlign w:val="top"/>
            <w:vMerge w:val="continue"/>
            <w:textDirection w:val="lrTb"/>
            <w:noWrap w:val="false"/>
          </w:tcPr>
          <w:p>
            <w:pPr>
              <w:pStyle w:val="685"/>
              <w:spacing w:before="10" w:after="10" w:line="24" w:lineRule="atLeast"/>
              <w:rPr>
                <w:color w:val="FF0000"/>
              </w:rPr>
            </w:pPr>
            <w:r>
              <w:rPr>
                <w:color w:val="FF0000"/>
              </w:rPr>
            </w:r>
            <w:r/>
          </w:p>
        </w:tc>
        <w:tc>
          <w:tcPr>
            <w:tcW w:w="2268" w:type="dxa"/>
            <w:vAlign w:val="top"/>
            <w:vMerge w:val="continue"/>
            <w:textDirection w:val="lrTb"/>
            <w:noWrap w:val="false"/>
          </w:tcPr>
          <w:p>
            <w:pPr>
              <w:pStyle w:val="685"/>
              <w:spacing w:before="10" w:after="10" w:line="24" w:lineRule="atLeast"/>
              <w:rPr>
                <w:color w:val="FF0000"/>
              </w:rPr>
            </w:pPr>
            <w:r>
              <w:rPr>
                <w:color w:val="FF0000"/>
              </w:rPr>
            </w:r>
            <w:r/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иные источники</w:t>
            </w:r>
            <w:r/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</w:tr>
      <w:tr>
        <w:trPr>
          <w:cantSplit/>
          <w:trHeight w:val="202"/>
        </w:trPr>
        <w:tc>
          <w:tcPr>
            <w:tcW w:w="1480" w:type="dxa"/>
            <w:vAlign w:val="center"/>
            <w:vMerge w:val="restart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widowControl w:val="off"/>
            </w:pPr>
            <w:r>
              <w:t xml:space="preserve">Основное мероприятие 1.1.</w:t>
            </w:r>
            <w:r/>
          </w:p>
          <w:p>
            <w:pPr>
              <w:pStyle w:val="685"/>
              <w:jc w:val="center"/>
              <w:spacing w:before="10" w:after="10" w:line="24" w:lineRule="atLeast"/>
              <w:widowControl w:val="off"/>
            </w:pPr>
            <w:r/>
            <w:r/>
          </w:p>
        </w:tc>
        <w:tc>
          <w:tcPr>
            <w:tcW w:w="2268" w:type="dxa"/>
            <w:vAlign w:val="center"/>
            <w:vMerge w:val="restart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«Содержание и ремонт автомобильных дорог местного значения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 искусственных сооружений на них, относящихся  к улично-дорожной сети населенных пунктов городского округа»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Всего</w:t>
            </w:r>
            <w:r/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684 096,767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140 437,4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89 577,767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96 046,0</w:t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36 799,0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29 835,8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392 695,967</w:t>
            </w:r>
            <w:r/>
          </w:p>
        </w:tc>
      </w:tr>
      <w:tr>
        <w:trPr>
          <w:cantSplit/>
          <w:trHeight w:val="308"/>
        </w:trPr>
        <w:tc>
          <w:tcPr>
            <w:tcW w:w="1480" w:type="dxa"/>
            <w:vAlign w:val="center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/>
            <w:r/>
          </w:p>
        </w:tc>
        <w:tc>
          <w:tcPr>
            <w:tcW w:w="2268" w:type="dxa"/>
            <w:vAlign w:val="center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/>
            <w:r/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федеральный бюджет</w:t>
            </w:r>
            <w:r/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36 254,4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36 254,4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36 254,4</w:t>
            </w:r>
            <w:r/>
          </w:p>
        </w:tc>
      </w:tr>
      <w:tr>
        <w:trPr>
          <w:cantSplit/>
          <w:trHeight w:val="20"/>
        </w:trPr>
        <w:tc>
          <w:tcPr>
            <w:tcW w:w="1480" w:type="dxa"/>
            <w:vAlign w:val="center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/>
            <w:r/>
          </w:p>
        </w:tc>
        <w:tc>
          <w:tcPr>
            <w:tcW w:w="2268" w:type="dxa"/>
            <w:vAlign w:val="center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/>
            <w:r/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областной бюджет</w:t>
            </w:r>
            <w:r/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262 035,0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101 006,0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13 458,0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/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/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/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114 464,0</w:t>
            </w:r>
            <w:r/>
          </w:p>
        </w:tc>
      </w:tr>
      <w:tr>
        <w:trPr>
          <w:cantSplit/>
          <w:trHeight w:val="849"/>
        </w:trPr>
        <w:tc>
          <w:tcPr>
            <w:tcW w:w="1480" w:type="dxa"/>
            <w:vAlign w:val="center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/>
            <w:r/>
          </w:p>
        </w:tc>
        <w:tc>
          <w:tcPr>
            <w:tcW w:w="2268" w:type="dxa"/>
            <w:vAlign w:val="center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/>
            <w:r/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консолидирован-ные бюджеты муниципальных образований</w:t>
            </w:r>
            <w:r/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385 807,367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39 431,4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39 865,367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96 046,0</w:t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36 799,0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29 835,8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241 977,567</w:t>
            </w:r>
            <w:r/>
          </w:p>
        </w:tc>
      </w:tr>
      <w:tr>
        <w:trPr>
          <w:cantSplit/>
        </w:trPr>
        <w:tc>
          <w:tcPr>
            <w:tcW w:w="1480" w:type="dxa"/>
            <w:vAlign w:val="center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/>
            <w:r/>
          </w:p>
        </w:tc>
        <w:tc>
          <w:tcPr>
            <w:tcW w:w="2268" w:type="dxa"/>
            <w:vAlign w:val="center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/>
            <w:r/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территориальные внебюджетные фонды</w:t>
            </w:r>
            <w:r/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</w:tr>
      <w:tr>
        <w:trPr>
          <w:cantSplit/>
          <w:trHeight w:val="47"/>
        </w:trPr>
        <w:tc>
          <w:tcPr>
            <w:tcW w:w="1480" w:type="dxa"/>
            <w:vAlign w:val="center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/>
            <w:r/>
          </w:p>
        </w:tc>
        <w:tc>
          <w:tcPr>
            <w:tcW w:w="2268" w:type="dxa"/>
            <w:vAlign w:val="center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/>
            <w:r/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иные источники</w:t>
            </w:r>
            <w:r/>
          </w:p>
        </w:tc>
        <w:tc>
          <w:tcPr>
            <w:tcW w:w="1842" w:type="dxa"/>
            <w:vAlign w:val="top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</w:tr>
      <w:tr>
        <w:trPr>
          <w:cantSplit/>
          <w:trHeight w:val="291"/>
        </w:trPr>
        <w:tc>
          <w:tcPr>
            <w:tcW w:w="1480" w:type="dxa"/>
            <w:vAlign w:val="center"/>
            <w:vMerge w:val="restart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widowControl w:val="off"/>
            </w:pPr>
            <w:r>
              <w:t xml:space="preserve">Подпрограмма 2</w:t>
            </w:r>
            <w:r/>
          </w:p>
          <w:p>
            <w:pPr>
              <w:pStyle w:val="685"/>
              <w:jc w:val="center"/>
              <w:spacing w:before="10" w:after="10" w:line="24" w:lineRule="atLeast"/>
            </w:pPr>
            <w:r/>
            <w:r/>
          </w:p>
        </w:tc>
        <w:tc>
          <w:tcPr>
            <w:tcW w:w="2268" w:type="dxa"/>
            <w:vAlign w:val="center"/>
            <w:vMerge w:val="restart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«Совершенствование</w:t>
            </w:r>
            <w:r/>
          </w:p>
          <w:p>
            <w:pPr>
              <w:pStyle w:val="685"/>
              <w:jc w:val="center"/>
              <w:spacing w:before="10" w:after="10" w:line="24" w:lineRule="atLeast"/>
            </w:pPr>
            <w:r>
              <w:t xml:space="preserve">и развитие транспортной системы Грайворонского городского округа»</w:t>
            </w:r>
            <w:r/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Всего</w:t>
            </w:r>
            <w:r/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86 702,27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9 304,0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10 878,47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10 513,3</w:t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10 513,3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10 513,3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51 722,37</w:t>
            </w:r>
            <w:r/>
          </w:p>
        </w:tc>
      </w:tr>
      <w:tr>
        <w:trPr>
          <w:cantSplit/>
          <w:trHeight w:val="441"/>
        </w:trPr>
        <w:tc>
          <w:tcPr>
            <w:tcW w:w="1480" w:type="dxa"/>
            <w:vAlign w:val="top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color w:val="FF0000"/>
              </w:rPr>
            </w:pPr>
            <w:r>
              <w:rPr>
                <w:color w:val="FF0000"/>
              </w:rPr>
            </w:r>
            <w:r/>
          </w:p>
        </w:tc>
        <w:tc>
          <w:tcPr>
            <w:tcW w:w="2268" w:type="dxa"/>
            <w:vAlign w:val="top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color w:val="FF0000"/>
              </w:rPr>
            </w:pPr>
            <w:r>
              <w:rPr>
                <w:color w:val="FF0000"/>
              </w:rPr>
            </w:r>
            <w:r/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федеральный бюджет</w:t>
            </w:r>
            <w:r/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</w:tr>
      <w:tr>
        <w:trPr>
          <w:cantSplit/>
          <w:trHeight w:val="427"/>
        </w:trPr>
        <w:tc>
          <w:tcPr>
            <w:tcW w:w="1480" w:type="dxa"/>
            <w:vAlign w:val="top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color w:val="FF0000"/>
              </w:rPr>
            </w:pPr>
            <w:r>
              <w:rPr>
                <w:color w:val="FF0000"/>
              </w:rPr>
            </w:r>
            <w:r/>
          </w:p>
        </w:tc>
        <w:tc>
          <w:tcPr>
            <w:tcW w:w="2268" w:type="dxa"/>
            <w:vAlign w:val="top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color w:val="FF0000"/>
              </w:rPr>
            </w:pPr>
            <w:r>
              <w:rPr>
                <w:color w:val="FF0000"/>
              </w:rPr>
            </w:r>
            <w:r/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областной бюджет</w:t>
            </w:r>
            <w:r/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32,4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8,1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8,1</w:t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8,1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8,1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32,4</w:t>
            </w:r>
            <w:r/>
          </w:p>
        </w:tc>
      </w:tr>
      <w:tr>
        <w:trPr>
          <w:cantSplit/>
          <w:trHeight w:val="784"/>
        </w:trPr>
        <w:tc>
          <w:tcPr>
            <w:tcW w:w="1480" w:type="dxa"/>
            <w:vAlign w:val="top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color w:val="FF0000"/>
              </w:rPr>
            </w:pPr>
            <w:r>
              <w:rPr>
                <w:color w:val="FF0000"/>
              </w:rPr>
            </w:r>
            <w:r/>
          </w:p>
        </w:tc>
        <w:tc>
          <w:tcPr>
            <w:tcW w:w="2268" w:type="dxa"/>
            <w:vAlign w:val="top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color w:val="FF0000"/>
              </w:rPr>
            </w:pPr>
            <w:r>
              <w:rPr>
                <w:color w:val="FF0000"/>
              </w:rPr>
            </w:r>
            <w:r/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консолидирован-ные бюджеты муниципальных образований</w:t>
            </w:r>
            <w:r/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86 669,87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9 304,0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10</w:t>
            </w:r>
            <w:r>
              <w:t xml:space="preserve"> </w:t>
            </w:r>
            <w:r>
              <w:t xml:space="preserve">87</w:t>
            </w:r>
            <w:r>
              <w:t xml:space="preserve">0,37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10 505,2</w:t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10 505,2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10 505,2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51</w:t>
            </w:r>
            <w:r>
              <w:t xml:space="preserve"> 689,97</w:t>
            </w:r>
            <w:r/>
          </w:p>
        </w:tc>
      </w:tr>
      <w:tr>
        <w:trPr>
          <w:cantSplit/>
          <w:trHeight w:val="207"/>
        </w:trPr>
        <w:tc>
          <w:tcPr>
            <w:tcW w:w="1480" w:type="dxa"/>
            <w:vAlign w:val="top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color w:val="FF0000"/>
              </w:rPr>
            </w:pPr>
            <w:r>
              <w:rPr>
                <w:color w:val="FF0000"/>
              </w:rPr>
            </w:r>
            <w:r/>
          </w:p>
        </w:tc>
        <w:tc>
          <w:tcPr>
            <w:tcW w:w="2268" w:type="dxa"/>
            <w:vAlign w:val="top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color w:val="FF0000"/>
              </w:rPr>
            </w:pPr>
            <w:r>
              <w:rPr>
                <w:color w:val="FF0000"/>
              </w:rPr>
            </w:r>
            <w:r/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территориальные внебюджетные фонды</w:t>
            </w:r>
            <w:r/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</w:tr>
      <w:tr>
        <w:trPr>
          <w:cantSplit/>
          <w:trHeight w:val="133"/>
        </w:trPr>
        <w:tc>
          <w:tcPr>
            <w:tcW w:w="1480" w:type="dxa"/>
            <w:vAlign w:val="top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color w:val="FF0000"/>
              </w:rPr>
            </w:pPr>
            <w:r>
              <w:rPr>
                <w:color w:val="FF0000"/>
              </w:rPr>
            </w:r>
            <w:r/>
          </w:p>
        </w:tc>
        <w:tc>
          <w:tcPr>
            <w:tcW w:w="2268" w:type="dxa"/>
            <w:vAlign w:val="top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color w:val="FF0000"/>
              </w:rPr>
            </w:pPr>
            <w:r>
              <w:rPr>
                <w:color w:val="FF0000"/>
              </w:rPr>
            </w:r>
            <w:r/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иные источники</w:t>
            </w:r>
            <w:r/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</w:tr>
      <w:tr>
        <w:trPr>
          <w:cantSplit/>
          <w:trHeight w:val="256"/>
        </w:trPr>
        <w:tc>
          <w:tcPr>
            <w:tcW w:w="1480" w:type="dxa"/>
            <w:vAlign w:val="center"/>
            <w:vMerge w:val="restart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widowControl w:val="off"/>
            </w:pPr>
            <w:r>
              <w:t xml:space="preserve">Основное мероприятие 2.1.</w:t>
            </w:r>
            <w:r/>
          </w:p>
        </w:tc>
        <w:tc>
          <w:tcPr>
            <w:tcW w:w="2268" w:type="dxa"/>
            <w:vAlign w:val="center"/>
            <w:vMerge w:val="restart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Дотации на покрытие убытков</w:t>
            </w:r>
            <w:r/>
          </w:p>
          <w:p>
            <w:pPr>
              <w:pStyle w:val="685"/>
              <w:jc w:val="center"/>
              <w:spacing w:before="10" w:after="10" w:line="24" w:lineRule="atLeast"/>
            </w:pPr>
            <w:r>
              <w:t xml:space="preserve">по организации транспортного обслуживания</w:t>
            </w:r>
            <w:r/>
          </w:p>
          <w:p>
            <w:pPr>
              <w:pStyle w:val="685"/>
              <w:jc w:val="center"/>
              <w:spacing w:before="10" w:after="10" w:line="24" w:lineRule="atLeast"/>
            </w:pPr>
            <w:r>
              <w:t xml:space="preserve">на внутримуниципальном пригородном сообщении</w:t>
            </w:r>
            <w:r/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Всего</w:t>
            </w:r>
            <w:r/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86 702,27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9 304,0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10 878,47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10 513,3</w:t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10 513,3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10 513,3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51 722,37</w:t>
            </w:r>
            <w:r/>
          </w:p>
        </w:tc>
      </w:tr>
      <w:tr>
        <w:trPr>
          <w:cantSplit/>
          <w:trHeight w:val="508"/>
        </w:trPr>
        <w:tc>
          <w:tcPr>
            <w:tcW w:w="1480" w:type="dxa"/>
            <w:vAlign w:val="center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color w:val="FF0000"/>
              </w:rPr>
            </w:pPr>
            <w:r>
              <w:rPr>
                <w:color w:val="FF0000"/>
              </w:rPr>
            </w:r>
            <w:r/>
          </w:p>
        </w:tc>
        <w:tc>
          <w:tcPr>
            <w:tcW w:w="2268" w:type="dxa"/>
            <w:vAlign w:val="center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color w:val="FF0000"/>
              </w:rPr>
            </w:pPr>
            <w:r>
              <w:rPr>
                <w:color w:val="FF0000"/>
              </w:rPr>
            </w:r>
            <w:r/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федеральный бюджет</w:t>
            </w:r>
            <w:r/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</w:tr>
      <w:tr>
        <w:trPr>
          <w:cantSplit/>
          <w:trHeight w:val="201"/>
        </w:trPr>
        <w:tc>
          <w:tcPr>
            <w:tcW w:w="1480" w:type="dxa"/>
            <w:vAlign w:val="center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color w:val="FF0000"/>
              </w:rPr>
            </w:pPr>
            <w:r>
              <w:rPr>
                <w:color w:val="FF0000"/>
              </w:rPr>
            </w:r>
            <w:r/>
          </w:p>
        </w:tc>
        <w:tc>
          <w:tcPr>
            <w:tcW w:w="2268" w:type="dxa"/>
            <w:vAlign w:val="center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color w:val="FF0000"/>
              </w:rPr>
            </w:pPr>
            <w:r>
              <w:rPr>
                <w:color w:val="FF0000"/>
              </w:rPr>
            </w:r>
            <w:r/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областной бюджет</w:t>
            </w:r>
            <w:r/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32,4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8,1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8,1</w:t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8,1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8,1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32,4</w:t>
            </w:r>
            <w:r/>
          </w:p>
        </w:tc>
      </w:tr>
      <w:tr>
        <w:trPr>
          <w:cantSplit/>
          <w:trHeight w:val="874"/>
        </w:trPr>
        <w:tc>
          <w:tcPr>
            <w:tcW w:w="1480" w:type="dxa"/>
            <w:vAlign w:val="center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color w:val="FF0000"/>
              </w:rPr>
            </w:pPr>
            <w:r>
              <w:rPr>
                <w:color w:val="FF0000"/>
              </w:rPr>
            </w:r>
            <w:r/>
          </w:p>
        </w:tc>
        <w:tc>
          <w:tcPr>
            <w:tcW w:w="2268" w:type="dxa"/>
            <w:vAlign w:val="center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color w:val="FF0000"/>
              </w:rPr>
            </w:pPr>
            <w:r>
              <w:rPr>
                <w:color w:val="FF0000"/>
              </w:rPr>
            </w:r>
            <w:r/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консолидирован-ные бюджеты муниципальных образований</w:t>
            </w:r>
            <w:r/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86 669,87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9 304,0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10</w:t>
            </w:r>
            <w:r>
              <w:t xml:space="preserve"> </w:t>
            </w:r>
            <w:r>
              <w:t xml:space="preserve">87</w:t>
            </w:r>
            <w:r>
              <w:t xml:space="preserve">0,37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10 505,2</w:t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10 505,2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10 505,2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>
              <w:t xml:space="preserve">51</w:t>
            </w:r>
            <w:r>
              <w:t xml:space="preserve"> 689,97</w:t>
            </w:r>
            <w:r/>
          </w:p>
        </w:tc>
      </w:tr>
      <w:tr>
        <w:trPr>
          <w:cantSplit/>
          <w:trHeight w:val="423"/>
        </w:trPr>
        <w:tc>
          <w:tcPr>
            <w:tcW w:w="1480" w:type="dxa"/>
            <w:vAlign w:val="center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color w:val="FF0000"/>
              </w:rPr>
            </w:pPr>
            <w:r>
              <w:rPr>
                <w:color w:val="FF0000"/>
              </w:rPr>
            </w:r>
            <w:r/>
          </w:p>
        </w:tc>
        <w:tc>
          <w:tcPr>
            <w:tcW w:w="2268" w:type="dxa"/>
            <w:vAlign w:val="center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color w:val="FF0000"/>
              </w:rPr>
            </w:pPr>
            <w:r>
              <w:rPr>
                <w:color w:val="FF0000"/>
              </w:rPr>
            </w:r>
            <w:r/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территориальные внебюджетные фонды</w:t>
            </w:r>
            <w:r/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</w:r>
            <w:r/>
          </w:p>
        </w:tc>
      </w:tr>
      <w:tr>
        <w:trPr>
          <w:cantSplit/>
          <w:trHeight w:val="209"/>
        </w:trPr>
        <w:tc>
          <w:tcPr>
            <w:tcW w:w="1480" w:type="dxa"/>
            <w:vAlign w:val="top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/>
            <w:r/>
          </w:p>
        </w:tc>
        <w:tc>
          <w:tcPr>
            <w:tcW w:w="2268" w:type="dxa"/>
            <w:vAlign w:val="top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</w:pPr>
            <w:r/>
            <w:r/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иные источники</w:t>
            </w:r>
            <w:r/>
          </w:p>
        </w:tc>
        <w:tc>
          <w:tcPr>
            <w:tcW w:w="1842" w:type="dxa"/>
            <w:vAlign w:val="top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</w:tr>
    </w:tbl>
    <w:p>
      <w:pPr>
        <w:pStyle w:val="707"/>
        <w:ind w:firstLine="540"/>
        <w:jc w:val="both"/>
        <w:spacing w:before="10" w:after="10" w:line="24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pStyle w:val="707"/>
        <w:ind w:firstLine="540"/>
        <w:jc w:val="both"/>
        <w:spacing w:before="10" w:after="10" w:line="24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&lt;1&gt; По данной форме заполняются таблицы на каждый этап реализации муниципальной программы, </w:t>
      </w:r>
      <w:r/>
    </w:p>
    <w:p>
      <w:pPr>
        <w:pStyle w:val="707"/>
        <w:ind w:firstLine="540"/>
        <w:jc w:val="both"/>
        <w:spacing w:before="10" w:after="10" w:line="24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где N - номер этапа реализации.</w:t>
      </w:r>
      <w:r/>
    </w:p>
    <w:p>
      <w:pPr>
        <w:pStyle w:val="707"/>
        <w:ind w:firstLine="540"/>
        <w:jc w:val="both"/>
        <w:spacing w:before="10" w:after="10" w:line="24" w:lineRule="atLeast"/>
        <w:rPr>
          <w:rFonts w:ascii="Times New Roman" w:hAnsi="Times New Roman"/>
          <w:sz w:val="28"/>
          <w:szCs w:val="28"/>
        </w:rPr>
      </w:pPr>
      <w:r/>
      <w:bookmarkStart w:id="2" w:name="P553"/>
      <w:r/>
      <w:bookmarkEnd w:id="2"/>
      <w:r>
        <w:rPr>
          <w:rFonts w:ascii="Times New Roman" w:hAnsi="Times New Roman"/>
          <w:sz w:val="28"/>
          <w:szCs w:val="28"/>
        </w:rPr>
        <w:t xml:space="preserve">&lt;2&gt; Указанная графа формируется только в таблице текущего этапа реализации муниципальной программы.</w:t>
      </w:r>
      <w:r/>
    </w:p>
    <w:p>
      <w:pPr>
        <w:pStyle w:val="685"/>
        <w:ind w:left="935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>
        <w:rPr>
          <w:b/>
          <w:sz w:val="28"/>
          <w:szCs w:val="28"/>
        </w:rPr>
        <w:t xml:space="preserve">Приложение №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4</w:t>
      </w:r>
      <w:r/>
    </w:p>
    <w:p>
      <w:pPr>
        <w:pStyle w:val="685"/>
        <w:ind w:left="935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 муниципальной программе </w:t>
      </w:r>
      <w:r>
        <w:rPr>
          <w:b/>
          <w:sz w:val="28"/>
          <w:szCs w:val="28"/>
        </w:rPr>
        <w:t xml:space="preserve">Грайворонского городского округа</w:t>
      </w:r>
      <w:r>
        <w:rPr>
          <w:b/>
          <w:sz w:val="28"/>
          <w:szCs w:val="28"/>
        </w:rPr>
      </w:r>
      <w:r/>
    </w:p>
    <w:p>
      <w:pPr>
        <w:pStyle w:val="685"/>
        <w:ind w:left="9356"/>
        <w:jc w:val="center"/>
        <w:tabs>
          <w:tab w:val="left" w:pos="312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«Совершенствование и развитие транспортной системы и дорожной сети Грайворонского городского округа»</w:t>
      </w:r>
      <w:r/>
    </w:p>
    <w:p>
      <w:pPr>
        <w:pStyle w:val="685"/>
        <w:ind w:left="48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685"/>
        <w:ind w:left="48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707"/>
        <w:jc w:val="center"/>
        <w:spacing w:before="10" w:after="10" w:line="24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РЕСУРСНОЕ ОБЕСПЕЧЕНИЕ РЕАЛИЗАЦИИ МУНИЦИПАЛЬНОЙ ПРОГРАММЫ</w:t>
      </w:r>
      <w:r/>
    </w:p>
    <w:p>
      <w:pPr>
        <w:pStyle w:val="707"/>
        <w:jc w:val="center"/>
        <w:spacing w:before="10" w:after="10" w:line="24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 счет средств бюджета Грайворонского городского округа</w:t>
      </w:r>
      <w:r/>
    </w:p>
    <w:p>
      <w:pPr>
        <w:pStyle w:val="707"/>
        <w:jc w:val="center"/>
        <w:spacing w:before="10" w:after="10" w:line="24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1-м этапе реализации</w:t>
      </w:r>
      <w:r/>
    </w:p>
    <w:p>
      <w:pPr>
        <w:pStyle w:val="707"/>
        <w:ind w:firstLine="540"/>
        <w:jc w:val="both"/>
        <w:spacing w:before="10" w:after="10" w:line="24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pStyle w:val="707"/>
        <w:ind w:right="-142"/>
        <w:jc w:val="right"/>
        <w:spacing w:before="10" w:after="10" w:line="24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b/>
          <w:sz w:val="28"/>
          <w:szCs w:val="28"/>
        </w:rPr>
        <w:t xml:space="preserve">Таблица № 1</w:t>
      </w:r>
      <w:r/>
    </w:p>
    <w:p>
      <w:pPr>
        <w:pStyle w:val="707"/>
        <w:ind w:right="-142"/>
        <w:jc w:val="right"/>
        <w:spacing w:before="10" w:after="10" w:line="24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/>
    </w:p>
    <w:tbl>
      <w:tblPr>
        <w:tblW w:w="15026" w:type="dxa"/>
        <w:tblInd w:w="20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851"/>
        <w:gridCol w:w="1559"/>
        <w:gridCol w:w="1553"/>
        <w:gridCol w:w="715"/>
        <w:gridCol w:w="709"/>
        <w:gridCol w:w="1134"/>
        <w:gridCol w:w="567"/>
        <w:gridCol w:w="1701"/>
        <w:gridCol w:w="850"/>
        <w:gridCol w:w="851"/>
        <w:gridCol w:w="850"/>
        <w:gridCol w:w="851"/>
        <w:gridCol w:w="850"/>
        <w:gridCol w:w="851"/>
        <w:gridCol w:w="1134"/>
      </w:tblGrid>
      <w:tr>
        <w:trPr>
          <w:cantSplit/>
          <w:trHeight w:val="165"/>
          <w:tblHeader/>
        </w:trPr>
        <w:tc>
          <w:tcPr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Статус</w:t>
            </w:r>
            <w:r/>
          </w:p>
        </w:tc>
        <w:tc>
          <w:tcPr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Наименование муниципальной программы, подпрограммы, основного мероприятия</w:t>
            </w:r>
            <w:r/>
          </w:p>
        </w:tc>
        <w:tc>
          <w:tcPr>
            <w:tcW w:w="1553" w:type="dxa"/>
            <w:vAlign w:val="center"/>
            <w:vMerge w:val="restart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Ответственный исполнитель, соисполнители, участники</w:t>
            </w:r>
            <w:r/>
          </w:p>
        </w:tc>
        <w:tc>
          <w:tcPr>
            <w:gridSpan w:val="4"/>
            <w:tcW w:w="3125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Код бюджетной классификации</w:t>
            </w:r>
            <w:r/>
          </w:p>
        </w:tc>
        <w:tc>
          <w:tcPr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Общий объем финансирования, тыс. рублей </w:t>
            </w:r>
            <w:r/>
          </w:p>
        </w:tc>
        <w:tc>
          <w:tcPr>
            <w:gridSpan w:val="6"/>
            <w:tcW w:w="5103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Расходы (тыс. рублей), годы</w:t>
            </w:r>
            <w:r/>
          </w:p>
        </w:tc>
        <w:tc>
          <w:tcP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Итого 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на 1-м этапе (годы реализации)</w:t>
            </w:r>
            <w:r/>
          </w:p>
        </w:tc>
      </w:tr>
      <w:tr>
        <w:trPr>
          <w:cantSplit/>
          <w:trHeight w:val="569"/>
          <w:tblHeader/>
        </w:trPr>
        <w:tc>
          <w:tcPr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/>
          </w:p>
        </w:tc>
        <w:tc>
          <w:tcPr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/>
          </w:p>
        </w:tc>
        <w:tc>
          <w:tcPr>
            <w:tcW w:w="1553" w:type="dxa"/>
            <w:vAlign w:val="center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/>
          </w:p>
        </w:tc>
        <w:tc>
          <w:tcPr>
            <w:tcW w:w="715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ГРБС</w:t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Рз, Пр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ЦСР</w:t>
            </w:r>
            <w:r/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ВР</w:t>
            </w:r>
            <w:r/>
          </w:p>
        </w:tc>
        <w:tc>
          <w:tcPr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2015</w:t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2016</w:t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2017</w:t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2018</w:t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2019</w:t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2020</w:t>
            </w:r>
            <w:r/>
          </w:p>
        </w:tc>
        <w:tc>
          <w:tcPr>
            <w:tcW w:w="1134" w:type="dxa"/>
            <w:vAlign w:val="top"/>
            <w:vMerge w:val="continue"/>
            <w:textDirection w:val="lrTb"/>
            <w:noWrap w:val="false"/>
          </w:tcPr>
          <w:p>
            <w:pPr>
              <w:pStyle w:val="685"/>
              <w:spacing w:before="10" w:after="10" w:line="24" w:lineRule="atLeas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/>
          </w:p>
        </w:tc>
      </w:tr>
      <w:tr>
        <w:trPr>
          <w:tblHeader/>
        </w:trPr>
        <w:tc>
          <w:tcPr>
            <w:tcW w:w="851" w:type="dxa"/>
            <w:vAlign w:val="top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1</w:t>
            </w:r>
            <w:r/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2</w:t>
            </w:r>
            <w:r/>
          </w:p>
        </w:tc>
        <w:tc>
          <w:tcPr>
            <w:tcW w:w="1553" w:type="dxa"/>
            <w:vAlign w:val="top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3</w:t>
            </w:r>
            <w:r/>
          </w:p>
        </w:tc>
        <w:tc>
          <w:tcPr>
            <w:tcW w:w="715" w:type="dxa"/>
            <w:vAlign w:val="top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4</w:t>
            </w:r>
            <w:r/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5</w:t>
            </w:r>
            <w:r/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6</w:t>
            </w:r>
            <w:r/>
          </w:p>
        </w:tc>
        <w:tc>
          <w:tcPr>
            <w:tcW w:w="567" w:type="dxa"/>
            <w:vAlign w:val="top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7</w:t>
            </w:r>
            <w:r/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8</w:t>
            </w:r>
            <w:r/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9</w:t>
            </w:r>
            <w:r/>
          </w:p>
        </w:tc>
        <w:tc>
          <w:tcPr>
            <w:tcW w:w="851" w:type="dxa"/>
            <w:vAlign w:val="top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10</w:t>
            </w:r>
            <w:r/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11</w:t>
            </w:r>
            <w:r/>
          </w:p>
        </w:tc>
        <w:tc>
          <w:tcPr>
            <w:tcW w:w="851" w:type="dxa"/>
            <w:vAlign w:val="top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12</w:t>
            </w:r>
            <w:r/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13</w:t>
            </w:r>
            <w:r/>
          </w:p>
        </w:tc>
        <w:tc>
          <w:tcPr>
            <w:tcW w:w="851" w:type="dxa"/>
            <w:vAlign w:val="top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14</w:t>
            </w:r>
            <w:r/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15</w:t>
            </w:r>
            <w:r/>
          </w:p>
        </w:tc>
      </w:tr>
      <w:tr>
        <w:trPr>
          <w:cantSplit/>
        </w:trPr>
        <w:tc>
          <w:tcPr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pStyle w:val="685"/>
              <w:ind w:right="-30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Муници-пальная програм-ма</w:t>
            </w:r>
            <w:r/>
          </w:p>
        </w:tc>
        <w:tc>
          <w:tcPr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«Совершенствование и развитие</w:t>
            </w:r>
            <w:r/>
          </w:p>
          <w:p>
            <w:pPr>
              <w:pStyle w:val="685"/>
              <w:jc w:val="center"/>
              <w:spacing w:before="10" w:after="10" w:line="24" w:lineRule="atLeast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транспортной системы</w:t>
            </w:r>
            <w:r/>
          </w:p>
          <w:p>
            <w:pPr>
              <w:pStyle w:val="685"/>
              <w:jc w:val="center"/>
              <w:spacing w:before="10" w:after="10" w:line="24" w:lineRule="atLeast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 дорожной сети Грайворонского городского округа»</w:t>
            </w:r>
            <w:r/>
          </w:p>
          <w:p>
            <w:pPr>
              <w:pStyle w:val="685"/>
              <w:jc w:val="center"/>
              <w:spacing w:before="10" w:after="10" w:line="24" w:lineRule="atLeast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/>
          </w:p>
        </w:tc>
        <w:tc>
          <w:tcPr>
            <w:tcW w:w="1553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всего, в том числе:</w:t>
            </w:r>
            <w:r/>
          </w:p>
        </w:tc>
        <w:tc>
          <w:tcPr>
            <w:tcW w:w="715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917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917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917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917</w:t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0409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0409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0409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0408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0810120570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0810272140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08102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S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2140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0820160180</w:t>
            </w:r>
            <w:r/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244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243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243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811</w:t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770 798,937</w:t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22 365,6</w:t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24 726,7</w:t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28 659</w:t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42 213,1</w:t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85 197,4</w:t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123 218,9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326 380,7</w:t>
            </w:r>
            <w:r/>
          </w:p>
        </w:tc>
      </w:tr>
      <w:tr>
        <w:trPr>
          <w:cantSplit/>
        </w:trPr>
        <w:tc>
          <w:tcPr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/>
          </w:p>
        </w:tc>
        <w:tc>
          <w:tcPr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/>
          </w:p>
        </w:tc>
        <w:tc>
          <w:tcPr>
            <w:tcW w:w="1553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ответственный исполнитель муниципальной программы: управление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по строительству, транспорту,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ЖКХ и ТЭК администрации Грайворонского городского округа</w:t>
            </w:r>
            <w:r/>
          </w:p>
        </w:tc>
        <w:tc>
          <w:tcPr>
            <w:tcW w:w="715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</w:tr>
      <w:tr>
        <w:trPr>
          <w:cantSplit/>
          <w:trHeight w:val="224"/>
        </w:trPr>
        <w:tc>
          <w:tcPr>
            <w:tcW w:w="851" w:type="dxa"/>
            <w:vAlign w:val="top"/>
            <w:vMerge w:val="continue"/>
            <w:textDirection w:val="lrTb"/>
            <w:noWrap w:val="false"/>
          </w:tcPr>
          <w:p>
            <w:pPr>
              <w:pStyle w:val="685"/>
              <w:spacing w:before="10" w:after="10" w:line="24" w:lineRule="atLeas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</w:r>
            <w:r/>
          </w:p>
        </w:tc>
        <w:tc>
          <w:tcPr>
            <w:tcW w:w="1559" w:type="dxa"/>
            <w:vAlign w:val="top"/>
            <w:vMerge w:val="continue"/>
            <w:textDirection w:val="lrTb"/>
            <w:noWrap w:val="false"/>
          </w:tcPr>
          <w:p>
            <w:pPr>
              <w:pStyle w:val="685"/>
              <w:spacing w:before="10" w:after="10" w:line="24" w:lineRule="atLeas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</w:r>
            <w:r/>
          </w:p>
        </w:tc>
        <w:tc>
          <w:tcPr>
            <w:tcW w:w="1553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соисполнитель, всего</w:t>
            </w:r>
            <w:r/>
          </w:p>
        </w:tc>
        <w:tc>
          <w:tcPr>
            <w:tcW w:w="715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</w:tr>
      <w:tr>
        <w:trPr>
          <w:cantSplit/>
        </w:trPr>
        <w:tc>
          <w:tcPr>
            <w:tcW w:w="851" w:type="dxa"/>
            <w:vAlign w:val="top"/>
            <w:vMerge w:val="continue"/>
            <w:textDirection w:val="lrTb"/>
            <w:noWrap w:val="false"/>
          </w:tcPr>
          <w:p>
            <w:pPr>
              <w:pStyle w:val="685"/>
              <w:spacing w:before="10" w:after="10" w:line="24" w:lineRule="atLeas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</w:r>
            <w:r/>
          </w:p>
        </w:tc>
        <w:tc>
          <w:tcPr>
            <w:tcW w:w="1559" w:type="dxa"/>
            <w:vAlign w:val="top"/>
            <w:vMerge w:val="continue"/>
            <w:textDirection w:val="lrTb"/>
            <w:noWrap w:val="false"/>
          </w:tcPr>
          <w:p>
            <w:pPr>
              <w:pStyle w:val="685"/>
              <w:spacing w:before="10" w:after="10" w:line="24" w:lineRule="atLeas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</w:r>
            <w:r/>
          </w:p>
        </w:tc>
        <w:tc>
          <w:tcPr>
            <w:tcW w:w="1553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Управление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по строительству, транспорту,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ЖКХ и ТЭК администрации Грайворонского городского округа</w:t>
            </w:r>
            <w:r/>
          </w:p>
        </w:tc>
        <w:tc>
          <w:tcPr>
            <w:tcW w:w="715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917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917</w:t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0409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0409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0810120570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0810272140</w:t>
            </w:r>
            <w:r/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244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243</w:t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472 485,337</w:t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22 365,6</w:t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24 726,7</w:t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28 659,0</w:t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30 813,1</w:t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41 592,4</w:t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30 652,9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178 809,7</w:t>
            </w:r>
            <w:r/>
          </w:p>
        </w:tc>
      </w:tr>
      <w:tr>
        <w:trPr>
          <w:cantSplit/>
        </w:trPr>
        <w:tc>
          <w:tcPr>
            <w:tcW w:w="851" w:type="dxa"/>
            <w:vAlign w:val="top"/>
            <w:vMerge w:val="continue"/>
            <w:textDirection w:val="lrTb"/>
            <w:noWrap w:val="false"/>
          </w:tcPr>
          <w:p>
            <w:pPr>
              <w:pStyle w:val="685"/>
              <w:spacing w:before="10" w:after="10" w:line="24" w:lineRule="atLeas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</w:r>
            <w:r/>
          </w:p>
        </w:tc>
        <w:tc>
          <w:tcPr>
            <w:tcW w:w="1559" w:type="dxa"/>
            <w:vAlign w:val="top"/>
            <w:vMerge w:val="continue"/>
            <w:textDirection w:val="lrTb"/>
            <w:noWrap w:val="false"/>
          </w:tcPr>
          <w:p>
            <w:pPr>
              <w:pStyle w:val="685"/>
              <w:spacing w:before="10" w:after="10" w:line="24" w:lineRule="atLeas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</w:r>
            <w:r/>
          </w:p>
        </w:tc>
        <w:tc>
          <w:tcPr>
            <w:tcW w:w="1553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Администрация Грайворонского городского округа</w:t>
            </w:r>
            <w:r/>
          </w:p>
        </w:tc>
        <w:tc>
          <w:tcPr>
            <w:tcW w:w="715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X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X</w:t>
            </w:r>
            <w:r/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X</w:t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</w:tr>
      <w:tr>
        <w:trPr>
          <w:cantSplit/>
        </w:trPr>
        <w:tc>
          <w:tcPr>
            <w:tcW w:w="851" w:type="dxa"/>
            <w:vAlign w:val="top"/>
            <w:vMerge w:val="continue"/>
            <w:textDirection w:val="lrTb"/>
            <w:noWrap w:val="false"/>
          </w:tcPr>
          <w:p>
            <w:pPr>
              <w:pStyle w:val="685"/>
              <w:spacing w:before="10" w:after="10" w:line="24" w:lineRule="atLeas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</w:r>
            <w:r/>
          </w:p>
        </w:tc>
        <w:tc>
          <w:tcPr>
            <w:tcW w:w="1559" w:type="dxa"/>
            <w:vAlign w:val="top"/>
            <w:vMerge w:val="continue"/>
            <w:textDirection w:val="lrTb"/>
            <w:noWrap w:val="false"/>
          </w:tcPr>
          <w:p>
            <w:pPr>
              <w:pStyle w:val="685"/>
              <w:spacing w:before="10" w:after="10" w:line="24" w:lineRule="atLeas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</w:r>
            <w:r/>
          </w:p>
        </w:tc>
        <w:tc>
          <w:tcPr>
            <w:tcW w:w="1553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участник, всего</w:t>
            </w:r>
            <w:r/>
          </w:p>
        </w:tc>
        <w:tc>
          <w:tcPr>
            <w:tcW w:w="715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917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917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917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917</w:t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0409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0409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0409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0408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0810120570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0810272140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08102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S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2140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0820160180</w:t>
            </w:r>
            <w:r/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244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243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243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811</w:t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770 798,937</w:t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22 365,6</w:t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24 726,7</w:t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28 659,0</w:t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42 213,1</w:t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85 197,4</w:t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123 218,9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326 380,7</w:t>
            </w:r>
            <w:r/>
          </w:p>
        </w:tc>
      </w:tr>
      <w:tr>
        <w:trPr>
          <w:cantSplit/>
        </w:trPr>
        <w:tc>
          <w:tcPr>
            <w:tcW w:w="851" w:type="dxa"/>
            <w:vAlign w:val="top"/>
            <w:vMerge w:val="continue"/>
            <w:textDirection w:val="lrTb"/>
            <w:noWrap w:val="false"/>
          </w:tcPr>
          <w:p>
            <w:pPr>
              <w:pStyle w:val="685"/>
              <w:spacing w:before="10" w:after="10" w:line="24" w:lineRule="atLeas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</w:r>
            <w:r/>
          </w:p>
        </w:tc>
        <w:tc>
          <w:tcPr>
            <w:tcW w:w="1559" w:type="dxa"/>
            <w:vAlign w:val="top"/>
            <w:vMerge w:val="continue"/>
            <w:textDirection w:val="lrTb"/>
            <w:noWrap w:val="false"/>
          </w:tcPr>
          <w:p>
            <w:pPr>
              <w:pStyle w:val="685"/>
              <w:spacing w:before="10" w:after="10" w:line="24" w:lineRule="atLeas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</w:r>
            <w:r/>
          </w:p>
        </w:tc>
        <w:tc>
          <w:tcPr>
            <w:tcW w:w="1553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Управление </w:t>
            </w:r>
            <w:r>
              <w:rPr>
                <w:rFonts w:ascii="Times New Roman" w:hAnsi="Times New Roman"/>
                <w:sz w:val="18"/>
                <w:szCs w:val="18"/>
              </w:rPr>
              <w:br/>
            </w:r>
            <w:r>
              <w:rPr>
                <w:rFonts w:ascii="Times New Roman" w:hAnsi="Times New Roman"/>
                <w:sz w:val="18"/>
                <w:szCs w:val="18"/>
              </w:rPr>
              <w:t xml:space="preserve">по строительству, транспорту, ЖКХ и ТЭК администрации Грайворонского городского округа</w:t>
            </w:r>
            <w:r/>
          </w:p>
        </w:tc>
        <w:tc>
          <w:tcPr>
            <w:tcW w:w="715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917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917</w:t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0409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0409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0810120570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0810272140</w:t>
            </w:r>
            <w:r/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244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243</w:t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472 485,337</w:t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22 365,6</w:t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24 726,7</w:t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28 659,0</w:t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30 813,1</w:t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41 592,4</w:t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30 652,9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178 809,7</w:t>
            </w:r>
            <w:r/>
          </w:p>
        </w:tc>
      </w:tr>
      <w:tr>
        <w:trPr>
          <w:cantSplit/>
        </w:trPr>
        <w:tc>
          <w:tcPr>
            <w:tcW w:w="851" w:type="dxa"/>
            <w:vAlign w:val="top"/>
            <w:vMerge w:val="continue"/>
            <w:textDirection w:val="lrTb"/>
            <w:noWrap w:val="false"/>
          </w:tcPr>
          <w:p>
            <w:pPr>
              <w:pStyle w:val="685"/>
              <w:spacing w:before="10" w:after="10" w:line="24" w:lineRule="atLeas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</w:r>
            <w:r/>
          </w:p>
        </w:tc>
        <w:tc>
          <w:tcPr>
            <w:tcW w:w="1559" w:type="dxa"/>
            <w:vAlign w:val="top"/>
            <w:vMerge w:val="continue"/>
            <w:textDirection w:val="lrTb"/>
            <w:noWrap w:val="false"/>
          </w:tcPr>
          <w:p>
            <w:pPr>
              <w:pStyle w:val="685"/>
              <w:spacing w:before="10" w:after="10" w:line="24" w:lineRule="atLeas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</w:r>
            <w:r/>
          </w:p>
        </w:tc>
        <w:tc>
          <w:tcPr>
            <w:tcW w:w="1553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Администрация Грайворонского городского округа</w:t>
            </w:r>
            <w:r/>
          </w:p>
        </w:tc>
        <w:tc>
          <w:tcPr>
            <w:tcW w:w="715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</w:tr>
      <w:tr>
        <w:trPr>
          <w:cantSplit/>
          <w:trHeight w:val="175"/>
        </w:trPr>
        <w:tc>
          <w:tcPr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pStyle w:val="685"/>
              <w:ind w:right="-30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Подпрог-рамма 1</w:t>
            </w:r>
            <w:r/>
          </w:p>
        </w:tc>
        <w:tc>
          <w:tcPr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pStyle w:val="685"/>
              <w:ind w:right="-30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«Совершенство-вание и развитие дорожной сети»</w:t>
            </w:r>
            <w:r/>
          </w:p>
        </w:tc>
        <w:tc>
          <w:tcPr>
            <w:tcW w:w="1553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всего</w:t>
            </w:r>
            <w:r/>
          </w:p>
        </w:tc>
        <w:tc>
          <w:tcPr>
            <w:tcW w:w="715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917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917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917</w:t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0409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0409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0409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0810120570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0810272140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08102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S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2140</w:t>
            </w:r>
            <w:r/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244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243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243</w:t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684 096,767</w:t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17 609,6</w:t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19 970,7</w:t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22 603</w:t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36 157,1</w:t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79 141,5</w:t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115 918,9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291 400,8</w:t>
            </w:r>
            <w:r/>
          </w:p>
        </w:tc>
      </w:tr>
      <w:tr>
        <w:trPr>
          <w:cantSplit/>
        </w:trPr>
        <w:tc>
          <w:tcPr>
            <w:tcW w:w="851" w:type="dxa"/>
            <w:vAlign w:val="top"/>
            <w:vMerge w:val="continue"/>
            <w:textDirection w:val="lrTb"/>
            <w:noWrap w:val="false"/>
          </w:tcPr>
          <w:p>
            <w:pPr>
              <w:pStyle w:val="685"/>
              <w:spacing w:before="10" w:after="10" w:line="24" w:lineRule="atLeas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</w:r>
            <w:r/>
          </w:p>
        </w:tc>
        <w:tc>
          <w:tcPr>
            <w:tcW w:w="1559" w:type="dxa"/>
            <w:vAlign w:val="top"/>
            <w:vMerge w:val="continue"/>
            <w:textDirection w:val="lrTb"/>
            <w:noWrap w:val="false"/>
          </w:tcPr>
          <w:p>
            <w:pPr>
              <w:pStyle w:val="685"/>
              <w:spacing w:before="10" w:after="10" w:line="24" w:lineRule="atLeas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</w:r>
            <w:r/>
          </w:p>
        </w:tc>
        <w:tc>
          <w:tcPr>
            <w:tcW w:w="1553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ответственный исполнитель подпрограммы: Управление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по строительству, транспорту,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ЖКХ и ТЭК администрации Грайворонского городского округа</w:t>
            </w:r>
            <w:r/>
          </w:p>
        </w:tc>
        <w:tc>
          <w:tcPr>
            <w:tcW w:w="715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917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917</w:t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0409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0409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0810120570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0810272140</w:t>
            </w:r>
            <w:r/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244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243</w:t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385 807,367</w:t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17 609,6</w:t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19 970,7</w:t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22 603</w:t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24 757,1</w:t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35 536,5</w:t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23 352,9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143 829,8</w:t>
            </w:r>
            <w:r/>
          </w:p>
        </w:tc>
      </w:tr>
      <w:tr>
        <w:trPr>
          <w:cantSplit/>
        </w:trPr>
        <w:tc>
          <w:tcPr>
            <w:tcW w:w="851" w:type="dxa"/>
            <w:vAlign w:val="top"/>
            <w:vMerge w:val="continue"/>
            <w:textDirection w:val="lrTb"/>
            <w:noWrap w:val="false"/>
          </w:tcPr>
          <w:p>
            <w:pPr>
              <w:pStyle w:val="685"/>
              <w:spacing w:before="10" w:after="10" w:line="24" w:lineRule="atLeas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</w:r>
            <w:r/>
          </w:p>
        </w:tc>
        <w:tc>
          <w:tcPr>
            <w:tcW w:w="1559" w:type="dxa"/>
            <w:vAlign w:val="top"/>
            <w:vMerge w:val="continue"/>
            <w:textDirection w:val="lrTb"/>
            <w:noWrap w:val="false"/>
          </w:tcPr>
          <w:p>
            <w:pPr>
              <w:pStyle w:val="685"/>
              <w:spacing w:before="10" w:after="10" w:line="24" w:lineRule="atLeas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</w:r>
            <w:r/>
          </w:p>
        </w:tc>
        <w:tc>
          <w:tcPr>
            <w:tcW w:w="1553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участник, всего</w:t>
            </w:r>
            <w:r/>
          </w:p>
        </w:tc>
        <w:tc>
          <w:tcPr>
            <w:tcW w:w="715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</w:tr>
      <w:tr>
        <w:trPr>
          <w:cantSplit/>
          <w:trHeight w:val="1167"/>
        </w:trPr>
        <w:tc>
          <w:tcPr>
            <w:tcW w:w="851" w:type="dxa"/>
            <w:vAlign w:val="top"/>
            <w:vMerge w:val="continue"/>
            <w:textDirection w:val="lrTb"/>
            <w:noWrap w:val="false"/>
          </w:tcPr>
          <w:p>
            <w:pPr>
              <w:pStyle w:val="685"/>
              <w:spacing w:before="10" w:after="10" w:line="24" w:lineRule="atLeas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</w:r>
            <w:r/>
          </w:p>
        </w:tc>
        <w:tc>
          <w:tcPr>
            <w:tcW w:w="1559" w:type="dxa"/>
            <w:vAlign w:val="top"/>
            <w:vMerge w:val="continue"/>
            <w:textDirection w:val="lrTb"/>
            <w:noWrap w:val="false"/>
          </w:tcPr>
          <w:p>
            <w:pPr>
              <w:pStyle w:val="685"/>
              <w:spacing w:before="10" w:after="10" w:line="24" w:lineRule="atLeas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</w:r>
            <w:r/>
          </w:p>
        </w:tc>
        <w:tc>
          <w:tcPr>
            <w:tcW w:w="1553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Управление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по строительству, транспорту,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ЖКХ и ТЭК администрации Грайворонского городского округа</w:t>
            </w:r>
            <w:r/>
          </w:p>
        </w:tc>
        <w:tc>
          <w:tcPr>
            <w:tcW w:w="715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917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917</w:t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0409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0409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0810120570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0810272140</w:t>
            </w:r>
            <w:r/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244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243</w:t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385 807,367</w:t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17 609,6</w:t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19 970,7</w:t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22 603,0</w:t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24 757,1</w:t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35 536,5</w:t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23 352,9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143 829,8</w:t>
            </w:r>
            <w:r/>
          </w:p>
        </w:tc>
      </w:tr>
      <w:tr>
        <w:trPr>
          <w:cantSplit/>
        </w:trPr>
        <w:tc>
          <w:tcPr>
            <w:tcW w:w="851" w:type="dxa"/>
            <w:vAlign w:val="top"/>
            <w:vMerge w:val="continue"/>
            <w:textDirection w:val="lrTb"/>
            <w:noWrap w:val="false"/>
          </w:tcPr>
          <w:p>
            <w:pPr>
              <w:pStyle w:val="685"/>
              <w:spacing w:before="10" w:after="10" w:line="24" w:lineRule="atLeas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</w:r>
            <w:r/>
          </w:p>
        </w:tc>
        <w:tc>
          <w:tcPr>
            <w:tcW w:w="1559" w:type="dxa"/>
            <w:vAlign w:val="top"/>
            <w:vMerge w:val="continue"/>
            <w:textDirection w:val="lrTb"/>
            <w:noWrap w:val="false"/>
          </w:tcPr>
          <w:p>
            <w:pPr>
              <w:pStyle w:val="685"/>
              <w:spacing w:before="10" w:after="10" w:line="24" w:lineRule="atLeas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</w:r>
            <w:r/>
          </w:p>
        </w:tc>
        <w:tc>
          <w:tcPr>
            <w:tcW w:w="1553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Администрация Грайворонского городского округа</w:t>
            </w:r>
            <w:r/>
          </w:p>
        </w:tc>
        <w:tc>
          <w:tcPr>
            <w:tcW w:w="715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</w:tr>
      <w:tr>
        <w:trPr>
          <w:trHeight w:val="1168"/>
        </w:trPr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Основ-ное мероп-риятие 1.1</w:t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«Содержание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 ремонт автомобильных дорог местного значения </w:t>
            </w:r>
            <w:r>
              <w:rPr>
                <w:rFonts w:ascii="Times New Roman" w:hAnsi="Times New Roman"/>
                <w:sz w:val="18"/>
                <w:szCs w:val="18"/>
              </w:rPr>
              <w:br/>
            </w:r>
            <w:r>
              <w:rPr>
                <w:rFonts w:ascii="Times New Roman" w:hAnsi="Times New Roman"/>
                <w:sz w:val="18"/>
                <w:szCs w:val="18"/>
              </w:rPr>
              <w:t xml:space="preserve">и искусственных сооружений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на них, относящихся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 улично-дорожной сети населенных пунктов городского округа»</w:t>
            </w: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1553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Управление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по строительству, транспорту,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ЖКХ и ТЭК администрации Грайворонского городского округа</w:t>
            </w:r>
            <w:r/>
          </w:p>
        </w:tc>
        <w:tc>
          <w:tcPr>
            <w:tcW w:w="715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917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917</w:t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0409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0409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0810120570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0810272140</w:t>
            </w:r>
            <w:r/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244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243</w:t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385 807,367</w:t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17 609,6</w:t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19 970,7</w:t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22 603,0</w:t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24 757,1</w:t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35 536,5</w:t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23 352,9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143 829,8</w:t>
            </w:r>
            <w:r/>
          </w:p>
        </w:tc>
      </w:tr>
      <w:tr>
        <w:trPr>
          <w:cantSplit/>
          <w:trHeight w:val="1168"/>
        </w:trPr>
        <w:tc>
          <w:tcPr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Подпрог-рамма 2</w:t>
            </w:r>
            <w:r/>
          </w:p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/>
          </w:p>
        </w:tc>
        <w:tc>
          <w:tcPr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«Совершенство</w:t>
            </w: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  <w:t xml:space="preserve">вание и развитие транспортной системы Грайворонского городского округа»</w:t>
            </w:r>
            <w:r/>
          </w:p>
        </w:tc>
        <w:tc>
          <w:tcPr>
            <w:tcW w:w="1553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ответственный исполнитель подпрограммы: Управление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по строительству, транспорту,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ЖКХ и ТЭК администрации Грайворонского городского округа</w:t>
            </w:r>
            <w:r/>
          </w:p>
        </w:tc>
        <w:tc>
          <w:tcPr>
            <w:tcW w:w="715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/>
          </w:p>
        </w:tc>
      </w:tr>
      <w:tr>
        <w:trPr>
          <w:cantSplit/>
          <w:trHeight w:val="211"/>
        </w:trPr>
        <w:tc>
          <w:tcPr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</w:rPr>
            </w:r>
            <w:r/>
          </w:p>
        </w:tc>
        <w:tc>
          <w:tcPr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</w:rPr>
            </w:r>
            <w:r/>
          </w:p>
        </w:tc>
        <w:tc>
          <w:tcPr>
            <w:tcW w:w="1553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участник, всего</w:t>
            </w:r>
            <w:r/>
          </w:p>
        </w:tc>
        <w:tc>
          <w:tcPr>
            <w:tcW w:w="715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/>
          </w:p>
        </w:tc>
      </w:tr>
      <w:tr>
        <w:trPr>
          <w:cantSplit/>
          <w:trHeight w:val="1537"/>
        </w:trPr>
        <w:tc>
          <w:tcPr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</w:rPr>
            </w:r>
            <w:r/>
          </w:p>
        </w:tc>
        <w:tc>
          <w:tcPr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</w:rPr>
            </w:r>
            <w:r/>
          </w:p>
        </w:tc>
        <w:tc>
          <w:tcPr>
            <w:tcW w:w="1553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Управление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по строительству, транспорту, ЖКХ и ТЭК администрации Грайворонского городского округа</w:t>
            </w:r>
            <w:r/>
          </w:p>
        </w:tc>
        <w:tc>
          <w:tcPr>
            <w:tcW w:w="715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</w:r>
            <w:r/>
          </w:p>
        </w:tc>
      </w:tr>
      <w:tr>
        <w:trPr>
          <w:cantSplit/>
          <w:trHeight w:val="796"/>
        </w:trPr>
        <w:tc>
          <w:tcPr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</w:rPr>
            </w:r>
            <w:r/>
          </w:p>
        </w:tc>
        <w:tc>
          <w:tcPr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</w:rPr>
            </w:r>
            <w:r/>
          </w:p>
        </w:tc>
        <w:tc>
          <w:tcPr>
            <w:tcW w:w="1553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Администрация Грайворонского городского округа</w:t>
            </w:r>
            <w:r/>
          </w:p>
        </w:tc>
        <w:tc>
          <w:tcPr>
            <w:tcW w:w="715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917</w:t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0408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0820160180</w:t>
            </w:r>
            <w:r/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811</w:t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86 702,27</w:t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4 756,0</w:t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4 756,0</w:t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6 056,0</w:t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6 056,0</w:t>
            </w:r>
            <w:r>
              <w:rPr>
                <w:sz w:val="18"/>
                <w:szCs w:val="18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6 055,9</w:t>
            </w:r>
            <w:r>
              <w:rPr>
                <w:sz w:val="18"/>
                <w:szCs w:val="18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7 300,0</w:t>
            </w:r>
            <w:r>
              <w:rPr>
                <w:sz w:val="18"/>
                <w:szCs w:val="18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34 979,9</w:t>
            </w:r>
            <w:r>
              <w:rPr>
                <w:sz w:val="18"/>
                <w:szCs w:val="18"/>
              </w:rPr>
            </w:r>
            <w:r/>
          </w:p>
        </w:tc>
      </w:tr>
      <w:tr>
        <w:trPr>
          <w:trHeight w:val="2092"/>
        </w:trPr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Основ-ное мероп-риятие 2.1.</w:t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Дотации</w:t>
            </w:r>
            <w:r/>
          </w:p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 покрытие убытков</w:t>
            </w:r>
            <w:r/>
          </w:p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 организации транспортного обслуживания</w:t>
            </w:r>
            <w:r/>
          </w:p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 внутриму-ниципальном пригородном сообщении</w:t>
            </w:r>
            <w:r/>
          </w:p>
        </w:tc>
        <w:tc>
          <w:tcPr>
            <w:tcW w:w="1553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Администрация Грайворонского городского округа</w:t>
            </w:r>
            <w:r/>
          </w:p>
        </w:tc>
        <w:tc>
          <w:tcPr>
            <w:tcW w:w="715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917</w:t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0408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0820160180</w:t>
            </w:r>
            <w:r/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811</w:t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86 702,27</w:t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4 756,0</w:t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4 756,0</w:t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6 056,0</w:t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6 056,0</w:t>
            </w:r>
            <w:r>
              <w:rPr>
                <w:sz w:val="18"/>
                <w:szCs w:val="18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6 055,9</w:t>
            </w:r>
            <w:r>
              <w:rPr>
                <w:sz w:val="18"/>
                <w:szCs w:val="18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7 300,0</w:t>
            </w:r>
            <w:r>
              <w:rPr>
                <w:sz w:val="18"/>
                <w:szCs w:val="18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34 979,9</w:t>
            </w:r>
            <w:r>
              <w:rPr>
                <w:sz w:val="18"/>
                <w:szCs w:val="18"/>
              </w:rPr>
            </w:r>
            <w:r/>
          </w:p>
        </w:tc>
      </w:tr>
      <w:tr>
        <w:trPr>
          <w:cantSplit/>
        </w:trPr>
        <w:tc>
          <w:tcPr>
            <w:gridSpan w:val="2"/>
            <w:tcW w:w="2410" w:type="dxa"/>
            <w:vAlign w:val="center"/>
            <w:vMerge w:val="restart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Подпрограмма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«Обеспечение реализации муниципальной программы»</w:t>
            </w:r>
            <w:r/>
          </w:p>
        </w:tc>
        <w:tc>
          <w:tcPr>
            <w:tcW w:w="1553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ответственный исполнитель муниципальной программы, всего</w:t>
            </w:r>
            <w:r/>
          </w:p>
        </w:tc>
        <w:tc>
          <w:tcPr>
            <w:tcW w:w="715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917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917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917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917</w:t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0409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0409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0409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0408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0810120570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0810272140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08102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S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2140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0820160180</w:t>
            </w:r>
            <w:r/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244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243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243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811</w:t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770 798,937</w:t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22 365,6</w:t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24 726,7</w:t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28 659,0</w:t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42 213,1</w:t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85 197,4</w:t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123 218,9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326 380,7</w:t>
            </w:r>
            <w:r/>
          </w:p>
        </w:tc>
      </w:tr>
      <w:tr>
        <w:trPr>
          <w:cantSplit/>
          <w:trHeight w:val="1495"/>
        </w:trPr>
        <w:tc>
          <w:tcPr>
            <w:gridSpan w:val="2"/>
            <w:tcW w:w="2410" w:type="dxa"/>
            <w:vAlign w:val="top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</w:r>
            <w:r/>
          </w:p>
        </w:tc>
        <w:tc>
          <w:tcPr>
            <w:tcW w:w="1553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Управление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по строительству, транспорту,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ЖКХ и ТЭК администрации Грайворонского городского округа</w:t>
            </w:r>
            <w:r/>
          </w:p>
        </w:tc>
        <w:tc>
          <w:tcPr>
            <w:tcW w:w="715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917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917</w:t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0409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0409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0810120570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0810272140</w:t>
            </w:r>
            <w:r/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244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243</w:t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472 485,337</w:t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22 365,6</w:t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24 726,7</w:t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28 659,0</w:t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30 813,1</w:t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41 592,4</w:t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30 652,9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178 809,7</w:t>
            </w:r>
            <w:r/>
          </w:p>
        </w:tc>
      </w:tr>
      <w:tr>
        <w:trPr>
          <w:trHeight w:val="772"/>
        </w:trPr>
        <w:tc>
          <w:tcPr>
            <w:gridSpan w:val="2"/>
            <w:tcW w:w="2410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/>
          </w:p>
        </w:tc>
        <w:tc>
          <w:tcPr>
            <w:tcW w:w="1553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Администрация Грайворонского городского округа</w:t>
            </w:r>
            <w:r/>
          </w:p>
        </w:tc>
        <w:tc>
          <w:tcPr>
            <w:tcW w:w="715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917</w:t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0408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0820160180</w:t>
            </w:r>
            <w:r/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811</w:t>
            </w:r>
            <w:r/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86 702,27</w:t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4 756,0</w:t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4 756,0</w:t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6 056,0</w:t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6 056,0</w:t>
            </w:r>
            <w:r>
              <w:rPr>
                <w:sz w:val="18"/>
                <w:szCs w:val="18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6 055,9</w:t>
            </w:r>
            <w:r>
              <w:rPr>
                <w:sz w:val="18"/>
                <w:szCs w:val="18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7 300,0</w:t>
            </w:r>
            <w:r>
              <w:rPr>
                <w:sz w:val="18"/>
                <w:szCs w:val="18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34 979,9</w:t>
            </w:r>
            <w:r>
              <w:rPr>
                <w:sz w:val="18"/>
                <w:szCs w:val="18"/>
              </w:rPr>
            </w:r>
            <w:r/>
          </w:p>
        </w:tc>
      </w:tr>
    </w:tbl>
    <w:p>
      <w:pPr>
        <w:pStyle w:val="707"/>
        <w:ind w:firstLine="539"/>
        <w:jc w:val="both"/>
        <w:spacing w:before="10" w:after="10" w:line="24" w:lineRule="atLeast"/>
        <w:rPr>
          <w:rFonts w:ascii="Times New Roman" w:hAnsi="Times New Roman"/>
          <w:sz w:val="28"/>
          <w:szCs w:val="28"/>
        </w:rPr>
      </w:pPr>
      <w:r/>
      <w:bookmarkStart w:id="3" w:name="P765"/>
      <w:r/>
      <w:bookmarkEnd w:id="3"/>
      <w:r>
        <w:rPr>
          <w:rFonts w:ascii="Times New Roman" w:hAnsi="Times New Roman"/>
          <w:sz w:val="28"/>
          <w:szCs w:val="28"/>
        </w:rPr>
      </w:r>
      <w:r/>
    </w:p>
    <w:p>
      <w:pPr>
        <w:pStyle w:val="707"/>
        <w:ind w:firstLine="539"/>
        <w:jc w:val="both"/>
        <w:spacing w:before="10" w:after="10" w:line="24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&lt;1&gt; По данной форме заполняются таблицы на каждый этап реализации муниципальной программы, </w:t>
      </w:r>
      <w:r/>
    </w:p>
    <w:p>
      <w:pPr>
        <w:pStyle w:val="707"/>
        <w:ind w:firstLine="539"/>
        <w:jc w:val="both"/>
        <w:spacing w:before="10" w:after="10" w:line="24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где N - номер этапа реализации.</w:t>
      </w:r>
      <w:r/>
    </w:p>
    <w:p>
      <w:pPr>
        <w:pStyle w:val="707"/>
        <w:ind w:firstLine="539"/>
        <w:jc w:val="both"/>
        <w:spacing w:before="10" w:after="10" w:line="24" w:lineRule="atLeast"/>
        <w:rPr>
          <w:rFonts w:ascii="Times New Roman" w:hAnsi="Times New Roman"/>
          <w:sz w:val="28"/>
          <w:szCs w:val="28"/>
        </w:rPr>
      </w:pPr>
      <w:r/>
      <w:bookmarkStart w:id="4" w:name="P766"/>
      <w:r/>
      <w:bookmarkEnd w:id="4"/>
      <w:r>
        <w:rPr>
          <w:rFonts w:ascii="Times New Roman" w:hAnsi="Times New Roman"/>
          <w:sz w:val="28"/>
          <w:szCs w:val="28"/>
        </w:rPr>
        <w:t xml:space="preserve">&lt;2&gt; Указанная графа формируется только в таблице текущего этапа реализации муниципальной программы.</w:t>
      </w:r>
      <w:r/>
    </w:p>
    <w:p>
      <w:pPr>
        <w:pStyle w:val="707"/>
        <w:jc w:val="center"/>
        <w:spacing w:before="10" w:after="10" w:line="24" w:lineRule="atLeast"/>
        <w:rPr>
          <w:rFonts w:ascii="Times New Roman" w:hAnsi="Times New Roman"/>
          <w:b/>
          <w:sz w:val="28"/>
          <w:szCs w:val="28"/>
        </w:rPr>
      </w:pPr>
      <w:r>
        <w:rPr>
          <w:b/>
          <w:color w:val="FF0000"/>
          <w:sz w:val="28"/>
          <w:szCs w:val="28"/>
        </w:rPr>
        <w:br w:type="page"/>
      </w:r>
      <w:r>
        <w:rPr>
          <w:rFonts w:ascii="Times New Roman" w:hAnsi="Times New Roman"/>
          <w:b/>
          <w:sz w:val="28"/>
          <w:szCs w:val="28"/>
        </w:rPr>
        <w:t xml:space="preserve">РЕСУРСНОЕ ОБЕСПЕЧЕНИЕ РЕАЛИЗАЦИИ МУНИЦИПАЛЬНОЙ ПРОГРАММЫ</w:t>
      </w:r>
      <w:r/>
    </w:p>
    <w:p>
      <w:pPr>
        <w:pStyle w:val="707"/>
        <w:jc w:val="center"/>
        <w:spacing w:before="10" w:after="10" w:line="24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 счет средств бюджета Грайворонского городского округа</w:t>
      </w:r>
      <w:r/>
    </w:p>
    <w:p>
      <w:pPr>
        <w:pStyle w:val="707"/>
        <w:jc w:val="center"/>
        <w:spacing w:before="10" w:after="10" w:line="24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2-м этапе реализации</w:t>
      </w:r>
      <w:r/>
    </w:p>
    <w:p>
      <w:pPr>
        <w:pStyle w:val="707"/>
        <w:ind w:right="-142"/>
        <w:jc w:val="right"/>
        <w:spacing w:before="10" w:after="10" w:line="24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Таблица № 2</w:t>
      </w:r>
      <w:r/>
    </w:p>
    <w:p>
      <w:pPr>
        <w:pStyle w:val="707"/>
        <w:ind w:right="-142"/>
        <w:jc w:val="right"/>
        <w:spacing w:before="10" w:after="10" w:line="24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/>
    </w:p>
    <w:tbl>
      <w:tblPr>
        <w:tblW w:w="14884" w:type="dxa"/>
        <w:tblInd w:w="20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1418"/>
        <w:gridCol w:w="1559"/>
        <w:gridCol w:w="1558"/>
        <w:gridCol w:w="710"/>
        <w:gridCol w:w="709"/>
        <w:gridCol w:w="708"/>
        <w:gridCol w:w="566"/>
        <w:gridCol w:w="1702"/>
        <w:gridCol w:w="993"/>
        <w:gridCol w:w="1134"/>
        <w:gridCol w:w="849"/>
        <w:gridCol w:w="852"/>
        <w:gridCol w:w="850"/>
        <w:gridCol w:w="1276"/>
      </w:tblGrid>
      <w:tr>
        <w:trPr>
          <w:cantSplit/>
          <w:trHeight w:val="445"/>
          <w:tblHeader/>
        </w:trPr>
        <w:tc>
          <w:tcPr>
            <w:tcW w:w="1418" w:type="dxa"/>
            <w:vAlign w:val="center"/>
            <w:vMerge w:val="restart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Статус</w:t>
            </w:r>
            <w:r/>
          </w:p>
        </w:tc>
        <w:tc>
          <w:tcPr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Наименование муниципальной программы, подпрограммы, основного мероприятия</w:t>
            </w:r>
            <w:r/>
          </w:p>
        </w:tc>
        <w:tc>
          <w:tcPr>
            <w:tcW w:w="1558" w:type="dxa"/>
            <w:vAlign w:val="center"/>
            <w:vMerge w:val="restart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Ответственный исполнитель, соисполнители, участники</w:t>
            </w:r>
            <w:r/>
          </w:p>
        </w:tc>
        <w:tc>
          <w:tcPr>
            <w:gridSpan w:val="4"/>
            <w:tcW w:w="2693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Код бюджетной классификации</w:t>
            </w:r>
            <w:r/>
          </w:p>
        </w:tc>
        <w:tc>
          <w:tcPr>
            <w:tcW w:w="1702" w:type="dxa"/>
            <w:vAlign w:val="center"/>
            <w:vMerge w:val="restart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Общий объем финансирования, тыс. рублей </w:t>
            </w:r>
            <w:r/>
          </w:p>
        </w:tc>
        <w:tc>
          <w:tcPr>
            <w:gridSpan w:val="5"/>
            <w:tcW w:w="4678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Расходы (тыс. рублей), годы</w:t>
            </w:r>
            <w:r/>
          </w:p>
        </w:tc>
        <w:tc>
          <w:tcP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Итого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на 2-м этапе (годы реализации)</w:t>
            </w:r>
            <w:r/>
          </w:p>
        </w:tc>
      </w:tr>
      <w:tr>
        <w:trPr>
          <w:cantSplit/>
          <w:trHeight w:val="612"/>
          <w:tblHeader/>
        </w:trPr>
        <w:tc>
          <w:tcPr>
            <w:tcW w:w="1418" w:type="dxa"/>
            <w:vAlign w:val="center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/>
          </w:p>
        </w:tc>
        <w:tc>
          <w:tcPr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/>
          </w:p>
        </w:tc>
        <w:tc>
          <w:tcPr>
            <w:tcW w:w="1558" w:type="dxa"/>
            <w:vAlign w:val="center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/>
          </w:p>
        </w:tc>
        <w:tc>
          <w:tcPr>
            <w:tcW w:w="710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ГРБС</w:t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Рз, Пр</w:t>
            </w:r>
            <w:r/>
          </w:p>
        </w:tc>
        <w:tc>
          <w:tcPr>
            <w:tcW w:w="708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ЦСР</w:t>
            </w:r>
            <w:r/>
          </w:p>
        </w:tc>
        <w:tc>
          <w:tcPr>
            <w:tcW w:w="56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ВР</w:t>
            </w:r>
            <w:r/>
          </w:p>
        </w:tc>
        <w:tc>
          <w:tcPr>
            <w:tcW w:w="1702" w:type="dxa"/>
            <w:vAlign w:val="center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2021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2022</w:t>
            </w:r>
            <w:r/>
          </w:p>
        </w:tc>
        <w:tc>
          <w:tcPr>
            <w:tcW w:w="849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2023</w:t>
            </w:r>
            <w:r/>
          </w:p>
        </w:tc>
        <w:tc>
          <w:tcPr>
            <w:tcW w:w="852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2024</w:t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2025</w:t>
            </w:r>
            <w:r/>
          </w:p>
        </w:tc>
        <w:tc>
          <w:tcPr>
            <w:tcW w:w="1276" w:type="dxa"/>
            <w:vAlign w:val="top"/>
            <w:vMerge w:val="continue"/>
            <w:textDirection w:val="lrTb"/>
            <w:noWrap w:val="false"/>
          </w:tcPr>
          <w:p>
            <w:pPr>
              <w:pStyle w:val="685"/>
              <w:spacing w:before="10" w:after="10" w:line="24" w:lineRule="atLeas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/>
          </w:p>
        </w:tc>
      </w:tr>
      <w:tr>
        <w:trPr>
          <w:trHeight w:val="173"/>
          <w:tblHeader/>
        </w:trPr>
        <w:tc>
          <w:tcPr>
            <w:tcW w:w="1418" w:type="dxa"/>
            <w:vAlign w:val="top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1</w:t>
            </w:r>
            <w:r/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2</w:t>
            </w:r>
            <w:r/>
          </w:p>
        </w:tc>
        <w:tc>
          <w:tcPr>
            <w:tcW w:w="1558" w:type="dxa"/>
            <w:vAlign w:val="top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3</w:t>
            </w:r>
            <w:r/>
          </w:p>
        </w:tc>
        <w:tc>
          <w:tcPr>
            <w:tcW w:w="710" w:type="dxa"/>
            <w:vAlign w:val="top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4</w:t>
            </w:r>
            <w:r/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5</w:t>
            </w:r>
            <w:r/>
          </w:p>
        </w:tc>
        <w:tc>
          <w:tcPr>
            <w:tcW w:w="708" w:type="dxa"/>
            <w:vAlign w:val="top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6</w:t>
            </w:r>
            <w:r/>
          </w:p>
        </w:tc>
        <w:tc>
          <w:tcPr>
            <w:tcW w:w="566" w:type="dxa"/>
            <w:vAlign w:val="top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7</w:t>
            </w:r>
            <w:r/>
          </w:p>
        </w:tc>
        <w:tc>
          <w:tcPr>
            <w:tcW w:w="1702" w:type="dxa"/>
            <w:vAlign w:val="top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8</w:t>
            </w:r>
            <w:r/>
          </w:p>
        </w:tc>
        <w:tc>
          <w:tcPr>
            <w:tcW w:w="993" w:type="dxa"/>
            <w:vAlign w:val="top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9</w:t>
            </w:r>
            <w:r/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10</w:t>
            </w:r>
            <w:r/>
          </w:p>
        </w:tc>
        <w:tc>
          <w:tcPr>
            <w:tcW w:w="849" w:type="dxa"/>
            <w:vAlign w:val="top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11</w:t>
            </w:r>
            <w:r/>
          </w:p>
        </w:tc>
        <w:tc>
          <w:tcPr>
            <w:tcW w:w="852" w:type="dxa"/>
            <w:vAlign w:val="top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12</w:t>
            </w:r>
            <w:r/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13</w:t>
            </w:r>
            <w:r/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15</w:t>
            </w:r>
            <w:r/>
          </w:p>
        </w:tc>
      </w:tr>
      <w:tr>
        <w:trPr>
          <w:cantSplit/>
          <w:trHeight w:val="237"/>
        </w:trPr>
        <w:tc>
          <w:tcPr>
            <w:tcW w:w="1418" w:type="dxa"/>
            <w:vAlign w:val="center"/>
            <w:vMerge w:val="restart"/>
            <w:textDirection w:val="lrTb"/>
            <w:noWrap w:val="false"/>
          </w:tcPr>
          <w:p>
            <w:pPr>
              <w:pStyle w:val="685"/>
              <w:ind w:right="-30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Муниципальная программа</w:t>
            </w:r>
            <w:r/>
          </w:p>
          <w:p>
            <w:pPr>
              <w:pStyle w:val="685"/>
              <w:ind w:right="-30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/>
          </w:p>
        </w:tc>
        <w:tc>
          <w:tcPr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Муниципальная программа «Совершенствование и развитие</w:t>
            </w:r>
            <w:r/>
          </w:p>
          <w:p>
            <w:pPr>
              <w:pStyle w:val="685"/>
              <w:jc w:val="center"/>
              <w:spacing w:before="10" w:after="10" w:line="24" w:lineRule="atLeast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транспортной системы </w:t>
            </w:r>
            <w:r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 xml:space="preserve">и дорожной сети Грайворонского городского округа»</w:t>
            </w:r>
            <w:r/>
          </w:p>
          <w:p>
            <w:pPr>
              <w:pStyle w:val="685"/>
              <w:jc w:val="center"/>
              <w:spacing w:before="10" w:after="10" w:line="24" w:lineRule="atLeast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/>
          </w:p>
        </w:tc>
        <w:tc>
          <w:tcPr>
            <w:tcW w:w="1558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всего, в том числе:</w:t>
            </w:r>
            <w:r/>
          </w:p>
        </w:tc>
        <w:tc>
          <w:tcPr>
            <w:tcW w:w="710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917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917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917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917</w:t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0409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0409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0409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0408</w:t>
            </w:r>
            <w:r/>
          </w:p>
        </w:tc>
        <w:tc>
          <w:tcPr>
            <w:tcW w:w="708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0810120570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0810272140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08102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S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2140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0820160180</w:t>
            </w:r>
            <w:r/>
          </w:p>
        </w:tc>
        <w:tc>
          <w:tcPr>
            <w:tcW w:w="56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244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243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243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811</w:t>
            </w:r>
            <w:r/>
          </w:p>
        </w:tc>
        <w:tc>
          <w:tcPr>
            <w:tcW w:w="1702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770 798,937</w:t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149 741,4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100 456,237</w:t>
            </w:r>
            <w:r/>
          </w:p>
        </w:tc>
        <w:tc>
          <w:tcPr>
            <w:tcW w:w="849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106 559,3</w:t>
            </w:r>
            <w:r/>
          </w:p>
        </w:tc>
        <w:tc>
          <w:tcPr>
            <w:tcW w:w="852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47 312,3</w:t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685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40 349,0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444 418,237</w:t>
            </w:r>
            <w:r/>
          </w:p>
        </w:tc>
      </w:tr>
      <w:tr>
        <w:trPr>
          <w:cantSplit/>
          <w:trHeight w:val="2286"/>
        </w:trPr>
        <w:tc>
          <w:tcPr>
            <w:tcW w:w="1418" w:type="dxa"/>
            <w:vAlign w:val="center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/>
          </w:p>
        </w:tc>
        <w:tc>
          <w:tcPr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/>
          </w:p>
        </w:tc>
        <w:tc>
          <w:tcPr>
            <w:tcW w:w="1558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ответственный исполнитель муниципальной программы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-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управление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по строительству, транспорту,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ЖКХ и ТЭК администрации Грайворонского городского округа</w:t>
            </w:r>
            <w:r/>
          </w:p>
        </w:tc>
        <w:tc>
          <w:tcPr>
            <w:tcW w:w="710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708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56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1702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849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852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</w:tr>
      <w:tr>
        <w:trPr>
          <w:cantSplit/>
        </w:trPr>
        <w:tc>
          <w:tcPr>
            <w:tcW w:w="1418" w:type="dxa"/>
            <w:vAlign w:val="top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</w:r>
            <w:r/>
          </w:p>
        </w:tc>
        <w:tc>
          <w:tcPr>
            <w:tcW w:w="1559" w:type="dxa"/>
            <w:vAlign w:val="top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</w:r>
            <w:r/>
          </w:p>
        </w:tc>
        <w:tc>
          <w:tcPr>
            <w:tcW w:w="1558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соисполнитель, всего</w:t>
            </w:r>
            <w:r/>
          </w:p>
        </w:tc>
        <w:tc>
          <w:tcPr>
            <w:tcW w:w="710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</w:rPr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</w:rPr>
            </w:r>
            <w:r/>
          </w:p>
        </w:tc>
        <w:tc>
          <w:tcPr>
            <w:tcW w:w="708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</w:rPr>
            </w:r>
            <w:r/>
          </w:p>
        </w:tc>
        <w:tc>
          <w:tcPr>
            <w:tcW w:w="56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</w:rPr>
            </w:r>
            <w:r/>
          </w:p>
        </w:tc>
        <w:tc>
          <w:tcPr>
            <w:tcW w:w="1702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</w:rPr>
            </w:r>
            <w:r/>
          </w:p>
        </w:tc>
        <w:tc>
          <w:tcPr>
            <w:tcW w:w="849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</w:rPr>
            </w:r>
            <w:r/>
          </w:p>
        </w:tc>
        <w:tc>
          <w:tcPr>
            <w:tcW w:w="852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</w:rPr>
            </w:r>
            <w:r/>
          </w:p>
        </w:tc>
      </w:tr>
      <w:tr>
        <w:trPr>
          <w:cantSplit/>
        </w:trPr>
        <w:tc>
          <w:tcPr>
            <w:tcW w:w="1418" w:type="dxa"/>
            <w:vAlign w:val="top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</w:r>
            <w:r/>
          </w:p>
        </w:tc>
        <w:tc>
          <w:tcPr>
            <w:tcW w:w="1559" w:type="dxa"/>
            <w:vAlign w:val="top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</w:r>
            <w:r/>
          </w:p>
        </w:tc>
        <w:tc>
          <w:tcPr>
            <w:tcW w:w="1558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Управление по строительству, транспорту, ЖКХ и ТЭК администрации Грайворонского городского округа</w:t>
            </w:r>
            <w:r/>
          </w:p>
        </w:tc>
        <w:tc>
          <w:tcPr>
            <w:tcW w:w="710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917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917</w:t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0409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0409</w:t>
            </w:r>
            <w:r/>
          </w:p>
        </w:tc>
        <w:tc>
          <w:tcPr>
            <w:tcW w:w="708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0810120570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0810272140</w:t>
            </w:r>
            <w:r/>
          </w:p>
        </w:tc>
        <w:tc>
          <w:tcPr>
            <w:tcW w:w="56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244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243</w:t>
            </w:r>
            <w:r/>
          </w:p>
        </w:tc>
        <w:tc>
          <w:tcPr>
            <w:tcW w:w="1702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472 485,337</w:t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48 735,4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50 743,837</w:t>
            </w:r>
            <w:r/>
          </w:p>
        </w:tc>
        <w:tc>
          <w:tcPr>
            <w:tcW w:w="849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106 551,2</w:t>
            </w:r>
            <w:r/>
          </w:p>
        </w:tc>
        <w:tc>
          <w:tcPr>
            <w:tcW w:w="852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47 304,2</w:t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40 341,0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293 675,637</w:t>
            </w:r>
            <w:r>
              <w:rPr>
                <w:sz w:val="18"/>
                <w:szCs w:val="18"/>
              </w:rPr>
            </w:r>
            <w:r/>
          </w:p>
        </w:tc>
      </w:tr>
      <w:tr>
        <w:trPr>
          <w:cantSplit/>
        </w:trPr>
        <w:tc>
          <w:tcPr>
            <w:tcW w:w="1418" w:type="dxa"/>
            <w:vAlign w:val="top"/>
            <w:vMerge w:val="continue"/>
            <w:textDirection w:val="lrTb"/>
            <w:noWrap w:val="false"/>
          </w:tcPr>
          <w:p>
            <w:pPr>
              <w:pStyle w:val="685"/>
              <w:spacing w:before="10" w:after="10" w:line="24" w:lineRule="atLeas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</w:r>
            <w:r/>
          </w:p>
        </w:tc>
        <w:tc>
          <w:tcPr>
            <w:tcW w:w="1559" w:type="dxa"/>
            <w:vAlign w:val="top"/>
            <w:vMerge w:val="continue"/>
            <w:textDirection w:val="lrTb"/>
            <w:noWrap w:val="false"/>
          </w:tcPr>
          <w:p>
            <w:pPr>
              <w:pStyle w:val="685"/>
              <w:spacing w:before="10" w:after="10" w:line="24" w:lineRule="atLeas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</w:r>
            <w:r/>
          </w:p>
        </w:tc>
        <w:tc>
          <w:tcPr>
            <w:tcW w:w="1558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Администрация Грайворонского городского округа</w:t>
            </w:r>
            <w:r/>
          </w:p>
        </w:tc>
        <w:tc>
          <w:tcPr>
            <w:tcW w:w="710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708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56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1702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849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852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</w:tr>
      <w:tr>
        <w:trPr>
          <w:cantSplit/>
          <w:trHeight w:val="153"/>
        </w:trPr>
        <w:tc>
          <w:tcPr>
            <w:tcW w:w="1418" w:type="dxa"/>
            <w:vAlign w:val="top"/>
            <w:vMerge w:val="continue"/>
            <w:textDirection w:val="lrTb"/>
            <w:noWrap w:val="false"/>
          </w:tcPr>
          <w:p>
            <w:pPr>
              <w:pStyle w:val="685"/>
              <w:spacing w:before="10" w:after="10" w:line="24" w:lineRule="atLeas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</w:r>
            <w:r/>
          </w:p>
        </w:tc>
        <w:tc>
          <w:tcPr>
            <w:tcW w:w="1559" w:type="dxa"/>
            <w:vAlign w:val="top"/>
            <w:vMerge w:val="continue"/>
            <w:textDirection w:val="lrTb"/>
            <w:noWrap w:val="false"/>
          </w:tcPr>
          <w:p>
            <w:pPr>
              <w:pStyle w:val="685"/>
              <w:spacing w:before="10" w:after="10" w:line="24" w:lineRule="atLeas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</w:r>
            <w:r/>
          </w:p>
        </w:tc>
        <w:tc>
          <w:tcPr>
            <w:tcW w:w="1558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участник, всего</w:t>
            </w:r>
            <w:r/>
          </w:p>
        </w:tc>
        <w:tc>
          <w:tcPr>
            <w:tcW w:w="710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917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917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917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917</w:t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0409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0409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0409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0408</w:t>
            </w:r>
            <w:r/>
          </w:p>
        </w:tc>
        <w:tc>
          <w:tcPr>
            <w:tcW w:w="708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0810120570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0810272140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08102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S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2140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0820160180</w:t>
            </w:r>
            <w:r/>
          </w:p>
        </w:tc>
        <w:tc>
          <w:tcPr>
            <w:tcW w:w="56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244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243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243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811</w:t>
            </w:r>
            <w:r/>
          </w:p>
        </w:tc>
        <w:tc>
          <w:tcPr>
            <w:tcW w:w="1702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770 798,937</w:t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149 741,4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100 456,237</w:t>
            </w:r>
            <w:r/>
          </w:p>
        </w:tc>
        <w:tc>
          <w:tcPr>
            <w:tcW w:w="849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106 559,3</w:t>
            </w:r>
            <w:r/>
          </w:p>
        </w:tc>
        <w:tc>
          <w:tcPr>
            <w:tcW w:w="852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47 312,3</w:t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40 349,0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444 418,237</w:t>
            </w:r>
            <w:r/>
          </w:p>
        </w:tc>
      </w:tr>
      <w:tr>
        <w:trPr>
          <w:cantSplit/>
          <w:trHeight w:val="1337"/>
        </w:trPr>
        <w:tc>
          <w:tcPr>
            <w:tcW w:w="1418" w:type="dxa"/>
            <w:vAlign w:val="top"/>
            <w:vMerge w:val="continue"/>
            <w:textDirection w:val="lrTb"/>
            <w:noWrap w:val="false"/>
          </w:tcPr>
          <w:p>
            <w:pPr>
              <w:pStyle w:val="685"/>
              <w:spacing w:before="10" w:after="10" w:line="24" w:lineRule="atLeas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</w:r>
            <w:r/>
          </w:p>
        </w:tc>
        <w:tc>
          <w:tcPr>
            <w:tcW w:w="1559" w:type="dxa"/>
            <w:vAlign w:val="top"/>
            <w:vMerge w:val="continue"/>
            <w:textDirection w:val="lrTb"/>
            <w:noWrap w:val="false"/>
          </w:tcPr>
          <w:p>
            <w:pPr>
              <w:pStyle w:val="685"/>
              <w:spacing w:before="10" w:after="10" w:line="24" w:lineRule="atLeas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</w:r>
            <w:r/>
          </w:p>
        </w:tc>
        <w:tc>
          <w:tcPr>
            <w:tcW w:w="1558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Управление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по строительству, транспорту,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ЖКХ и ТЭК администрации Грайворонского городского округа</w:t>
            </w:r>
            <w:r/>
          </w:p>
        </w:tc>
        <w:tc>
          <w:tcPr>
            <w:tcW w:w="710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917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917</w:t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0409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0409</w:t>
            </w:r>
            <w:r/>
          </w:p>
        </w:tc>
        <w:tc>
          <w:tcPr>
            <w:tcW w:w="708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0810120570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0810272140</w:t>
            </w:r>
            <w:r/>
          </w:p>
        </w:tc>
        <w:tc>
          <w:tcPr>
            <w:tcW w:w="56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244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243</w:t>
            </w:r>
            <w:r/>
          </w:p>
        </w:tc>
        <w:tc>
          <w:tcPr>
            <w:tcW w:w="1702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472 485,337</w:t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48 735,4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50 743,837</w:t>
            </w:r>
            <w:r/>
          </w:p>
        </w:tc>
        <w:tc>
          <w:tcPr>
            <w:tcW w:w="849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106 551,2</w:t>
            </w:r>
            <w:r/>
          </w:p>
        </w:tc>
        <w:tc>
          <w:tcPr>
            <w:tcW w:w="852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47 304,2</w:t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40 341,0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293 675,637</w:t>
            </w:r>
            <w:r>
              <w:rPr>
                <w:sz w:val="18"/>
                <w:szCs w:val="18"/>
              </w:rPr>
            </w:r>
            <w:r/>
          </w:p>
        </w:tc>
      </w:tr>
      <w:tr>
        <w:trPr>
          <w:cantSplit/>
          <w:trHeight w:val="650"/>
        </w:trPr>
        <w:tc>
          <w:tcPr>
            <w:tcW w:w="1418" w:type="dxa"/>
            <w:vAlign w:val="top"/>
            <w:vMerge w:val="continue"/>
            <w:textDirection w:val="lrTb"/>
            <w:noWrap w:val="false"/>
          </w:tcPr>
          <w:p>
            <w:pPr>
              <w:pStyle w:val="685"/>
              <w:spacing w:before="10" w:after="10" w:line="24" w:lineRule="atLeas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</w:r>
            <w:r/>
          </w:p>
        </w:tc>
        <w:tc>
          <w:tcPr>
            <w:tcW w:w="1559" w:type="dxa"/>
            <w:vAlign w:val="top"/>
            <w:vMerge w:val="continue"/>
            <w:textDirection w:val="lrTb"/>
            <w:noWrap w:val="false"/>
          </w:tcPr>
          <w:p>
            <w:pPr>
              <w:pStyle w:val="685"/>
              <w:spacing w:before="10" w:after="10" w:line="24" w:lineRule="atLeas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</w:r>
            <w:r/>
          </w:p>
        </w:tc>
        <w:tc>
          <w:tcPr>
            <w:tcW w:w="1558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Администрация Грайворонского городского округа</w:t>
            </w:r>
            <w:r/>
          </w:p>
        </w:tc>
        <w:tc>
          <w:tcPr>
            <w:tcW w:w="710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708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56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1702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849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</w:rPr>
            </w:r>
            <w:r/>
          </w:p>
        </w:tc>
        <w:tc>
          <w:tcPr>
            <w:tcW w:w="852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</w:rPr>
            </w:r>
            <w:r/>
          </w:p>
        </w:tc>
      </w:tr>
      <w:tr>
        <w:trPr>
          <w:cantSplit/>
          <w:trHeight w:val="175"/>
        </w:trPr>
        <w:tc>
          <w:tcPr>
            <w:tcW w:w="1418" w:type="dxa"/>
            <w:vAlign w:val="center"/>
            <w:vMerge w:val="restart"/>
            <w:textDirection w:val="lrTb"/>
            <w:noWrap w:val="false"/>
          </w:tcPr>
          <w:p>
            <w:pPr>
              <w:pStyle w:val="685"/>
              <w:ind w:right="-30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Подпрограмма 1</w:t>
            </w:r>
            <w:r/>
          </w:p>
        </w:tc>
        <w:tc>
          <w:tcPr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pStyle w:val="685"/>
              <w:ind w:right="-30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«Совершенство</w:t>
            </w: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  <w:t xml:space="preserve">вание и развитие дорожной сети»</w:t>
            </w:r>
            <w:r/>
          </w:p>
        </w:tc>
        <w:tc>
          <w:tcPr>
            <w:tcW w:w="1558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всего</w:t>
            </w:r>
            <w:r/>
          </w:p>
        </w:tc>
        <w:tc>
          <w:tcPr>
            <w:tcW w:w="710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917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917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917</w:t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0409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0409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0409</w:t>
            </w:r>
            <w:r/>
          </w:p>
        </w:tc>
        <w:tc>
          <w:tcPr>
            <w:tcW w:w="708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0810120570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0810272140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08102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S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2140</w:t>
            </w:r>
            <w:r/>
          </w:p>
        </w:tc>
        <w:tc>
          <w:tcPr>
            <w:tcW w:w="56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244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243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243</w:t>
            </w:r>
            <w:r/>
          </w:p>
        </w:tc>
        <w:tc>
          <w:tcPr>
            <w:tcW w:w="1702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684 096,767</w:t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140 437,4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89 577,767</w:t>
            </w:r>
            <w:r/>
          </w:p>
        </w:tc>
        <w:tc>
          <w:tcPr>
            <w:tcW w:w="849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96 046,0</w:t>
            </w:r>
            <w:r/>
          </w:p>
        </w:tc>
        <w:tc>
          <w:tcPr>
            <w:tcW w:w="852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36 799,0</w:t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29 835,8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392 695,967</w:t>
            </w:r>
            <w:r/>
          </w:p>
        </w:tc>
      </w:tr>
      <w:tr>
        <w:trPr>
          <w:cantSplit/>
        </w:trPr>
        <w:tc>
          <w:tcPr>
            <w:tcW w:w="1418" w:type="dxa"/>
            <w:vAlign w:val="top"/>
            <w:vMerge w:val="continue"/>
            <w:textDirection w:val="lrTb"/>
            <w:noWrap w:val="false"/>
          </w:tcPr>
          <w:p>
            <w:pPr>
              <w:pStyle w:val="685"/>
              <w:spacing w:before="10" w:after="10" w:line="24" w:lineRule="atLeas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</w:r>
            <w:r/>
          </w:p>
        </w:tc>
        <w:tc>
          <w:tcPr>
            <w:tcW w:w="1559" w:type="dxa"/>
            <w:vAlign w:val="top"/>
            <w:vMerge w:val="continue"/>
            <w:textDirection w:val="lrTb"/>
            <w:noWrap w:val="false"/>
          </w:tcPr>
          <w:p>
            <w:pPr>
              <w:pStyle w:val="685"/>
              <w:spacing w:before="10" w:after="10" w:line="24" w:lineRule="atLeas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</w:r>
            <w:r/>
          </w:p>
        </w:tc>
        <w:tc>
          <w:tcPr>
            <w:tcW w:w="1558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ответственный исполнитель подпрограммы: Управление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по строительству, транспорту, ЖКХ и ТЭК администрации Грайворонского городского округа</w:t>
            </w:r>
            <w:r/>
          </w:p>
        </w:tc>
        <w:tc>
          <w:tcPr>
            <w:tcW w:w="710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917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917</w:t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0409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0409</w:t>
            </w:r>
            <w:r/>
          </w:p>
        </w:tc>
        <w:tc>
          <w:tcPr>
            <w:tcW w:w="708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0810120570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0810272140</w:t>
            </w:r>
            <w:r/>
          </w:p>
        </w:tc>
        <w:tc>
          <w:tcPr>
            <w:tcW w:w="56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244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243</w:t>
            </w:r>
            <w:r/>
          </w:p>
        </w:tc>
        <w:tc>
          <w:tcPr>
            <w:tcW w:w="1702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385 807,367</w:t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39 431,4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39 865,367</w:t>
            </w:r>
            <w:r/>
          </w:p>
        </w:tc>
        <w:tc>
          <w:tcPr>
            <w:tcW w:w="849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96 046,0</w:t>
            </w:r>
            <w:r/>
          </w:p>
        </w:tc>
        <w:tc>
          <w:tcPr>
            <w:tcW w:w="852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36 799,0</w:t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29 835,8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241 977,567</w:t>
            </w:r>
            <w:r/>
          </w:p>
        </w:tc>
      </w:tr>
      <w:tr>
        <w:trPr>
          <w:cantSplit/>
        </w:trPr>
        <w:tc>
          <w:tcPr>
            <w:tcW w:w="1418" w:type="dxa"/>
            <w:vAlign w:val="top"/>
            <w:vMerge w:val="continue"/>
            <w:textDirection w:val="lrTb"/>
            <w:noWrap w:val="false"/>
          </w:tcPr>
          <w:p>
            <w:pPr>
              <w:pStyle w:val="685"/>
              <w:spacing w:before="10" w:after="10" w:line="24" w:lineRule="atLeas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</w:r>
            <w:r/>
          </w:p>
        </w:tc>
        <w:tc>
          <w:tcPr>
            <w:tcW w:w="1559" w:type="dxa"/>
            <w:vAlign w:val="top"/>
            <w:vMerge w:val="continue"/>
            <w:textDirection w:val="lrTb"/>
            <w:noWrap w:val="false"/>
          </w:tcPr>
          <w:p>
            <w:pPr>
              <w:pStyle w:val="685"/>
              <w:spacing w:before="10" w:after="10" w:line="24" w:lineRule="atLeas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</w:r>
            <w:r/>
          </w:p>
        </w:tc>
        <w:tc>
          <w:tcPr>
            <w:tcW w:w="1558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участник, всего</w:t>
            </w:r>
            <w:r/>
          </w:p>
        </w:tc>
        <w:tc>
          <w:tcPr>
            <w:tcW w:w="710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708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56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1702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849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852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</w:tr>
      <w:tr>
        <w:trPr>
          <w:cantSplit/>
          <w:trHeight w:val="1167"/>
        </w:trPr>
        <w:tc>
          <w:tcPr>
            <w:tcW w:w="1418" w:type="dxa"/>
            <w:vAlign w:val="top"/>
            <w:vMerge w:val="continue"/>
            <w:textDirection w:val="lrTb"/>
            <w:noWrap w:val="false"/>
          </w:tcPr>
          <w:p>
            <w:pPr>
              <w:pStyle w:val="685"/>
              <w:spacing w:before="10" w:after="10" w:line="24" w:lineRule="atLeas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</w:r>
            <w:r/>
          </w:p>
        </w:tc>
        <w:tc>
          <w:tcPr>
            <w:tcW w:w="1559" w:type="dxa"/>
            <w:vAlign w:val="top"/>
            <w:vMerge w:val="continue"/>
            <w:textDirection w:val="lrTb"/>
            <w:noWrap w:val="false"/>
          </w:tcPr>
          <w:p>
            <w:pPr>
              <w:pStyle w:val="685"/>
              <w:spacing w:before="10" w:after="10" w:line="24" w:lineRule="atLeas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</w:r>
            <w:r/>
          </w:p>
        </w:tc>
        <w:tc>
          <w:tcPr>
            <w:tcW w:w="1558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Управление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по строительству, транспорту,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ЖКХ и ТЭК администрации Грайворонского городского округа</w:t>
            </w:r>
            <w:r/>
          </w:p>
        </w:tc>
        <w:tc>
          <w:tcPr>
            <w:tcW w:w="710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917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917</w:t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0409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0409</w:t>
            </w:r>
            <w:r/>
          </w:p>
        </w:tc>
        <w:tc>
          <w:tcPr>
            <w:tcW w:w="708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0810120570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0810272140</w:t>
            </w:r>
            <w:r/>
          </w:p>
        </w:tc>
        <w:tc>
          <w:tcPr>
            <w:tcW w:w="56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244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243</w:t>
            </w:r>
            <w:r/>
          </w:p>
        </w:tc>
        <w:tc>
          <w:tcPr>
            <w:tcW w:w="1702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385 807,367</w:t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39 431,4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39 865,367</w:t>
            </w:r>
            <w:r/>
          </w:p>
        </w:tc>
        <w:tc>
          <w:tcPr>
            <w:tcW w:w="849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96 046,0</w:t>
            </w:r>
            <w:r/>
          </w:p>
        </w:tc>
        <w:tc>
          <w:tcPr>
            <w:tcW w:w="852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36 799,0</w:t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29 835,8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241 977,567</w:t>
            </w:r>
            <w:r/>
          </w:p>
        </w:tc>
      </w:tr>
      <w:tr>
        <w:trPr>
          <w:cantSplit/>
        </w:trPr>
        <w:tc>
          <w:tcPr>
            <w:tcW w:w="1418" w:type="dxa"/>
            <w:vAlign w:val="top"/>
            <w:vMerge w:val="continue"/>
            <w:textDirection w:val="lrTb"/>
            <w:noWrap w:val="false"/>
          </w:tcPr>
          <w:p>
            <w:pPr>
              <w:pStyle w:val="685"/>
              <w:spacing w:before="10" w:after="10" w:line="24" w:lineRule="atLeas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</w:r>
            <w:r/>
          </w:p>
        </w:tc>
        <w:tc>
          <w:tcPr>
            <w:tcW w:w="1559" w:type="dxa"/>
            <w:vAlign w:val="top"/>
            <w:vMerge w:val="continue"/>
            <w:textDirection w:val="lrTb"/>
            <w:noWrap w:val="false"/>
          </w:tcPr>
          <w:p>
            <w:pPr>
              <w:pStyle w:val="685"/>
              <w:spacing w:before="10" w:after="10" w:line="24" w:lineRule="atLeas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</w:r>
            <w:r/>
          </w:p>
        </w:tc>
        <w:tc>
          <w:tcPr>
            <w:tcW w:w="1558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Администрация Грайворонского городского округа</w:t>
            </w:r>
            <w:r/>
          </w:p>
        </w:tc>
        <w:tc>
          <w:tcPr>
            <w:tcW w:w="710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708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56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1702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849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852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</w:tr>
      <w:tr>
        <w:trPr>
          <w:trHeight w:val="1168"/>
        </w:trPr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Основное мероприятие 1.1</w:t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«Содержание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 ремонт автомобильных дорог местного значения и искусственных сооружений на них, относящихся  к улично-дорожной сети населенных пунктов городского округа»</w:t>
            </w: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1558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Управление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по строительству, транспорту, ЖКХ и ТЭК администрации Грайворонского городского округа</w:t>
            </w:r>
            <w:r/>
          </w:p>
        </w:tc>
        <w:tc>
          <w:tcPr>
            <w:tcW w:w="710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917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917</w:t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0409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0409</w:t>
            </w:r>
            <w:r/>
          </w:p>
        </w:tc>
        <w:tc>
          <w:tcPr>
            <w:tcW w:w="708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0810120570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0810272140</w:t>
            </w:r>
            <w:r/>
          </w:p>
        </w:tc>
        <w:tc>
          <w:tcPr>
            <w:tcW w:w="56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244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243</w:t>
            </w:r>
            <w:r/>
          </w:p>
        </w:tc>
        <w:tc>
          <w:tcPr>
            <w:tcW w:w="1702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385 807,367</w:t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39 431,4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39 865,367</w:t>
            </w:r>
            <w:r/>
          </w:p>
        </w:tc>
        <w:tc>
          <w:tcPr>
            <w:tcW w:w="849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96 046,0</w:t>
            </w:r>
            <w:r/>
          </w:p>
        </w:tc>
        <w:tc>
          <w:tcPr>
            <w:tcW w:w="852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36 799,0</w:t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29 835,8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241 977,567</w:t>
            </w:r>
            <w:r/>
          </w:p>
        </w:tc>
      </w:tr>
      <w:tr>
        <w:trPr>
          <w:cantSplit/>
          <w:trHeight w:val="1168"/>
        </w:trPr>
        <w:tc>
          <w:tcPr>
            <w:tcW w:w="1418" w:type="dxa"/>
            <w:vAlign w:val="center"/>
            <w:vMerge w:val="restart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Подпрограмма 2</w:t>
            </w:r>
            <w:r/>
          </w:p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/>
          </w:p>
        </w:tc>
        <w:tc>
          <w:tcPr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«Совершенство</w:t>
            </w: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  <w:t xml:space="preserve">вание и развитие транспортной системы Грайворонского городского округа»</w:t>
            </w:r>
            <w:r/>
          </w:p>
        </w:tc>
        <w:tc>
          <w:tcPr>
            <w:tcW w:w="1558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ответственный исполнитель подпрограммы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-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Управление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по строительству, транспорту, ЖКХ и ТЭК администрации Грайворонского городского округа</w:t>
            </w:r>
            <w:r/>
          </w:p>
        </w:tc>
        <w:tc>
          <w:tcPr>
            <w:tcW w:w="710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708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56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1702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/>
          </w:p>
        </w:tc>
        <w:tc>
          <w:tcPr>
            <w:tcW w:w="849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/>
          </w:p>
        </w:tc>
        <w:tc>
          <w:tcPr>
            <w:tcW w:w="852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/>
          </w:p>
        </w:tc>
      </w:tr>
      <w:tr>
        <w:trPr>
          <w:cantSplit/>
          <w:trHeight w:val="211"/>
        </w:trPr>
        <w:tc>
          <w:tcPr>
            <w:tcW w:w="1418" w:type="dxa"/>
            <w:vAlign w:val="top"/>
            <w:vMerge w:val="continue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</w:rPr>
            </w:r>
            <w:r/>
          </w:p>
        </w:tc>
        <w:tc>
          <w:tcPr>
            <w:tcW w:w="1559" w:type="dxa"/>
            <w:vAlign w:val="top"/>
            <w:vMerge w:val="continue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</w:rPr>
            </w:r>
            <w:r/>
          </w:p>
        </w:tc>
        <w:tc>
          <w:tcPr>
            <w:tcW w:w="1558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участник, всего</w:t>
            </w:r>
            <w:r/>
          </w:p>
        </w:tc>
        <w:tc>
          <w:tcPr>
            <w:tcW w:w="710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917</w:t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0408</w:t>
            </w:r>
            <w:r/>
          </w:p>
        </w:tc>
        <w:tc>
          <w:tcPr>
            <w:tcW w:w="708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0820160180</w:t>
            </w:r>
            <w:r/>
          </w:p>
        </w:tc>
        <w:tc>
          <w:tcPr>
            <w:tcW w:w="56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811</w:t>
            </w:r>
            <w:r/>
          </w:p>
        </w:tc>
        <w:tc>
          <w:tcPr>
            <w:tcW w:w="1702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86 702,27</w:t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9 304,0</w:t>
            </w:r>
            <w:r>
              <w:rPr>
                <w:sz w:val="18"/>
                <w:szCs w:val="18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10 878,47</w:t>
            </w:r>
            <w:r>
              <w:rPr>
                <w:sz w:val="18"/>
                <w:szCs w:val="18"/>
              </w:rPr>
            </w:r>
            <w:r/>
          </w:p>
        </w:tc>
        <w:tc>
          <w:tcPr>
            <w:tcW w:w="849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10 513,3</w:t>
            </w:r>
            <w:r>
              <w:rPr>
                <w:sz w:val="18"/>
                <w:szCs w:val="18"/>
              </w:rPr>
            </w:r>
            <w:r/>
          </w:p>
        </w:tc>
        <w:tc>
          <w:tcPr>
            <w:tcW w:w="852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10 513,3</w:t>
            </w:r>
            <w:r>
              <w:rPr>
                <w:sz w:val="18"/>
                <w:szCs w:val="18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10 513,3</w:t>
            </w:r>
            <w:r>
              <w:rPr>
                <w:sz w:val="18"/>
                <w:szCs w:val="18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51 722,37</w:t>
            </w:r>
            <w:r/>
          </w:p>
        </w:tc>
      </w:tr>
      <w:tr>
        <w:trPr>
          <w:cantSplit/>
          <w:trHeight w:val="1537"/>
        </w:trPr>
        <w:tc>
          <w:tcPr>
            <w:tcW w:w="1418" w:type="dxa"/>
            <w:vAlign w:val="center"/>
            <w:vMerge w:val="continue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</w:rPr>
            </w:r>
            <w:r/>
          </w:p>
        </w:tc>
        <w:tc>
          <w:tcPr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</w:rPr>
            </w:r>
            <w:r/>
          </w:p>
        </w:tc>
        <w:tc>
          <w:tcPr>
            <w:tcW w:w="1558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Управление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по строительству, транспорту,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ЖКХ и ТЭК администрации Грайворонского городского округа</w:t>
            </w:r>
            <w:r/>
          </w:p>
        </w:tc>
        <w:tc>
          <w:tcPr>
            <w:tcW w:w="710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708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56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/>
          </w:p>
        </w:tc>
        <w:tc>
          <w:tcPr>
            <w:tcW w:w="1702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/>
          </w:p>
        </w:tc>
        <w:tc>
          <w:tcPr>
            <w:tcW w:w="849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/>
          </w:p>
        </w:tc>
        <w:tc>
          <w:tcPr>
            <w:tcW w:w="852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/>
          </w:p>
        </w:tc>
      </w:tr>
      <w:tr>
        <w:trPr>
          <w:cantSplit/>
          <w:trHeight w:val="646"/>
        </w:trPr>
        <w:tc>
          <w:tcPr>
            <w:tcW w:w="1418" w:type="dxa"/>
            <w:vAlign w:val="center"/>
            <w:vMerge w:val="continue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</w:rPr>
            </w:r>
            <w:r/>
          </w:p>
        </w:tc>
        <w:tc>
          <w:tcPr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</w:rPr>
            </w:r>
            <w:r/>
          </w:p>
        </w:tc>
        <w:tc>
          <w:tcPr>
            <w:tcW w:w="1558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Администрация Грайворонского городского округа</w:t>
            </w:r>
            <w:r/>
          </w:p>
        </w:tc>
        <w:tc>
          <w:tcPr>
            <w:tcW w:w="710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917</w:t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0408</w:t>
            </w:r>
            <w:r/>
          </w:p>
        </w:tc>
        <w:tc>
          <w:tcPr>
            <w:tcW w:w="708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0820160180</w:t>
            </w:r>
            <w:r/>
          </w:p>
        </w:tc>
        <w:tc>
          <w:tcPr>
            <w:tcW w:w="56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811</w:t>
            </w:r>
            <w:r/>
          </w:p>
        </w:tc>
        <w:tc>
          <w:tcPr>
            <w:tcW w:w="1702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86 669,87</w:t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9 304,0</w:t>
            </w:r>
            <w:r>
              <w:rPr>
                <w:sz w:val="18"/>
                <w:szCs w:val="18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10 870,37</w:t>
            </w:r>
            <w:r>
              <w:rPr>
                <w:sz w:val="18"/>
                <w:szCs w:val="18"/>
              </w:rPr>
            </w:r>
            <w:r/>
          </w:p>
        </w:tc>
        <w:tc>
          <w:tcPr>
            <w:tcW w:w="849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10 505,2</w:t>
            </w:r>
            <w:r>
              <w:rPr>
                <w:sz w:val="18"/>
                <w:szCs w:val="18"/>
              </w:rPr>
            </w:r>
            <w:r/>
          </w:p>
        </w:tc>
        <w:tc>
          <w:tcPr>
            <w:tcW w:w="852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10 505,2</w:t>
            </w:r>
            <w:r>
              <w:rPr>
                <w:sz w:val="18"/>
                <w:szCs w:val="18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10 505,2</w:t>
            </w:r>
            <w:r>
              <w:rPr>
                <w:sz w:val="18"/>
                <w:szCs w:val="18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51 689,97</w:t>
            </w:r>
            <w:r/>
          </w:p>
        </w:tc>
      </w:tr>
      <w:tr>
        <w:trPr>
          <w:trHeight w:val="3149"/>
        </w:trPr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Основное мероприятие 2.1.</w:t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Дотации</w:t>
            </w:r>
            <w:r/>
          </w:p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 покрытие убытков  по организации транспортного обслуживания </w:t>
            </w:r>
            <w:r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 xml:space="preserve">на внутримуници-пальном пригородном сообщении</w:t>
            </w:r>
            <w:r/>
          </w:p>
        </w:tc>
        <w:tc>
          <w:tcPr>
            <w:tcW w:w="1558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Администрация Грайворонского городского округа</w:t>
            </w:r>
            <w:r/>
          </w:p>
        </w:tc>
        <w:tc>
          <w:tcPr>
            <w:tcW w:w="710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917</w:t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0408</w:t>
            </w:r>
            <w:r/>
          </w:p>
        </w:tc>
        <w:tc>
          <w:tcPr>
            <w:tcW w:w="708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0820160180</w:t>
            </w:r>
            <w:r/>
          </w:p>
        </w:tc>
        <w:tc>
          <w:tcPr>
            <w:tcW w:w="56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811</w:t>
            </w:r>
            <w:r/>
          </w:p>
        </w:tc>
        <w:tc>
          <w:tcPr>
            <w:tcW w:w="1702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86 702,27</w:t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9 304,0</w:t>
            </w:r>
            <w:r>
              <w:rPr>
                <w:sz w:val="18"/>
                <w:szCs w:val="18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10 878,47</w:t>
            </w:r>
            <w:r>
              <w:rPr>
                <w:sz w:val="18"/>
                <w:szCs w:val="18"/>
              </w:rPr>
            </w:r>
            <w:r/>
          </w:p>
        </w:tc>
        <w:tc>
          <w:tcPr>
            <w:tcW w:w="849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10 513,3</w:t>
            </w:r>
            <w:r>
              <w:rPr>
                <w:sz w:val="18"/>
                <w:szCs w:val="18"/>
              </w:rPr>
            </w:r>
            <w:r/>
          </w:p>
        </w:tc>
        <w:tc>
          <w:tcPr>
            <w:tcW w:w="852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10 513,3</w:t>
            </w:r>
            <w:r>
              <w:rPr>
                <w:sz w:val="18"/>
                <w:szCs w:val="18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10 513,3</w:t>
            </w:r>
            <w:r>
              <w:rPr>
                <w:sz w:val="18"/>
                <w:szCs w:val="18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51 722,37</w:t>
            </w:r>
            <w:r/>
          </w:p>
        </w:tc>
      </w:tr>
      <w:tr>
        <w:trPr>
          <w:cantSplit/>
          <w:trHeight w:val="913"/>
        </w:trPr>
        <w:tc>
          <w:tcPr>
            <w:gridSpan w:val="2"/>
            <w:tcW w:w="2977" w:type="dxa"/>
            <w:vAlign w:val="center"/>
            <w:vMerge w:val="restart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Подпрограмма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«Обеспечение реализации муниципальной программы»</w:t>
            </w:r>
            <w:r/>
          </w:p>
        </w:tc>
        <w:tc>
          <w:tcPr>
            <w:tcW w:w="1558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ответственный исполнитель муниципальной программы, всего</w:t>
            </w:r>
            <w:r/>
          </w:p>
        </w:tc>
        <w:tc>
          <w:tcPr>
            <w:tcW w:w="710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917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917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917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917</w:t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0409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0409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0409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0408</w:t>
            </w:r>
            <w:r/>
          </w:p>
        </w:tc>
        <w:tc>
          <w:tcPr>
            <w:tcW w:w="708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0810120570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0810272140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08102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S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2140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0820160180</w:t>
            </w:r>
            <w:r/>
          </w:p>
        </w:tc>
        <w:tc>
          <w:tcPr>
            <w:tcW w:w="56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244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243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243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811</w:t>
            </w:r>
            <w:r/>
          </w:p>
        </w:tc>
        <w:tc>
          <w:tcPr>
            <w:tcW w:w="1702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770 798,937</w:t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149 741,4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100 456,237</w:t>
            </w:r>
            <w:r/>
          </w:p>
        </w:tc>
        <w:tc>
          <w:tcPr>
            <w:tcW w:w="849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106 559,3</w:t>
            </w:r>
            <w:r/>
          </w:p>
        </w:tc>
        <w:tc>
          <w:tcPr>
            <w:tcW w:w="852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47 312,3</w:t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40 349,0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444 418,237</w:t>
            </w:r>
            <w:r/>
          </w:p>
        </w:tc>
      </w:tr>
      <w:tr>
        <w:trPr>
          <w:cantSplit/>
          <w:trHeight w:val="1356"/>
        </w:trPr>
        <w:tc>
          <w:tcPr>
            <w:gridSpan w:val="2"/>
            <w:tcW w:w="2977" w:type="dxa"/>
            <w:vAlign w:val="center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</w:r>
            <w:r/>
          </w:p>
        </w:tc>
        <w:tc>
          <w:tcPr>
            <w:tcW w:w="1558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Управление </w:t>
            </w:r>
            <w:r>
              <w:rPr>
                <w:rFonts w:ascii="Times New Roman" w:hAnsi="Times New Roman"/>
                <w:sz w:val="18"/>
                <w:szCs w:val="18"/>
              </w:rPr>
              <w:br/>
            </w:r>
            <w:r>
              <w:rPr>
                <w:rFonts w:ascii="Times New Roman" w:hAnsi="Times New Roman"/>
                <w:sz w:val="18"/>
                <w:szCs w:val="18"/>
              </w:rPr>
              <w:t xml:space="preserve">по строительству, транспорту, ЖКХ и ТЭК администрации Грайворонского городского округа</w:t>
            </w:r>
            <w:r/>
          </w:p>
        </w:tc>
        <w:tc>
          <w:tcPr>
            <w:tcW w:w="710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917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917</w:t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0409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0409</w:t>
            </w:r>
            <w:r/>
          </w:p>
        </w:tc>
        <w:tc>
          <w:tcPr>
            <w:tcW w:w="708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0810120570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0810272140</w:t>
            </w:r>
            <w:r/>
          </w:p>
        </w:tc>
        <w:tc>
          <w:tcPr>
            <w:tcW w:w="56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244</w:t>
            </w:r>
            <w:r/>
          </w:p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243</w:t>
            </w:r>
            <w:r/>
          </w:p>
        </w:tc>
        <w:tc>
          <w:tcPr>
            <w:tcW w:w="1702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472 485,337</w:t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48 735,4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50 743,837</w:t>
            </w:r>
            <w:r/>
          </w:p>
        </w:tc>
        <w:tc>
          <w:tcPr>
            <w:tcW w:w="849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106 551,2</w:t>
            </w:r>
            <w:r/>
          </w:p>
        </w:tc>
        <w:tc>
          <w:tcPr>
            <w:tcW w:w="852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47 304,2</w:t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40 341,0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293 675,637</w:t>
            </w:r>
            <w:r>
              <w:rPr>
                <w:sz w:val="18"/>
                <w:szCs w:val="18"/>
              </w:rPr>
            </w:r>
            <w:r/>
          </w:p>
        </w:tc>
      </w:tr>
      <w:tr>
        <w:trPr>
          <w:cantSplit/>
          <w:trHeight w:val="602"/>
        </w:trPr>
        <w:tc>
          <w:tcPr>
            <w:gridSpan w:val="2"/>
            <w:tcW w:w="2977" w:type="dxa"/>
            <w:vAlign w:val="center"/>
            <w:vMerge w:val="continue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</w:r>
            <w:r/>
          </w:p>
        </w:tc>
        <w:tc>
          <w:tcPr>
            <w:tcW w:w="1558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Администрация Грайворонского городского округа</w:t>
            </w:r>
            <w:r/>
          </w:p>
        </w:tc>
        <w:tc>
          <w:tcPr>
            <w:tcW w:w="710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917</w:t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0408</w:t>
            </w:r>
            <w:r/>
          </w:p>
        </w:tc>
        <w:tc>
          <w:tcPr>
            <w:tcW w:w="708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0820160180</w:t>
            </w:r>
            <w:r/>
          </w:p>
        </w:tc>
        <w:tc>
          <w:tcPr>
            <w:tcW w:w="566" w:type="dxa"/>
            <w:vAlign w:val="center"/>
            <w:textDirection w:val="lrTb"/>
            <w:noWrap w:val="false"/>
          </w:tcPr>
          <w:p>
            <w:pPr>
              <w:pStyle w:val="707"/>
              <w:jc w:val="center"/>
              <w:spacing w:before="10" w:after="10" w:line="24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811</w:t>
            </w:r>
            <w:r/>
          </w:p>
        </w:tc>
        <w:tc>
          <w:tcPr>
            <w:tcW w:w="1702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86 702,27</w:t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9 304,0</w:t>
            </w:r>
            <w:r>
              <w:rPr>
                <w:sz w:val="18"/>
                <w:szCs w:val="18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10 878,47</w:t>
            </w:r>
            <w:r>
              <w:rPr>
                <w:sz w:val="18"/>
                <w:szCs w:val="18"/>
              </w:rPr>
            </w:r>
            <w:r/>
          </w:p>
        </w:tc>
        <w:tc>
          <w:tcPr>
            <w:tcW w:w="849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10 513,3</w:t>
            </w:r>
            <w:r>
              <w:rPr>
                <w:sz w:val="18"/>
                <w:szCs w:val="18"/>
              </w:rPr>
            </w:r>
            <w:r/>
          </w:p>
        </w:tc>
        <w:tc>
          <w:tcPr>
            <w:tcW w:w="852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10 513,3</w:t>
            </w:r>
            <w:r>
              <w:rPr>
                <w:sz w:val="18"/>
                <w:szCs w:val="18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10 513,3</w:t>
            </w:r>
            <w:r>
              <w:rPr>
                <w:sz w:val="18"/>
                <w:szCs w:val="18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spacing w:before="10" w:after="10" w:line="24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51 722,37</w:t>
            </w:r>
            <w:r/>
          </w:p>
        </w:tc>
      </w:tr>
    </w:tbl>
    <w:p>
      <w:pPr>
        <w:pStyle w:val="707"/>
        <w:ind w:firstLine="539"/>
        <w:jc w:val="center"/>
        <w:spacing w:before="10" w:after="10" w:line="24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pStyle w:val="707"/>
        <w:spacing w:before="10" w:after="10" w:line="24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&lt;1&gt; По данной форме заполняются таблицы на каждый этап реализации муниципальной программы,</w:t>
      </w:r>
      <w:r/>
    </w:p>
    <w:p>
      <w:pPr>
        <w:pStyle w:val="707"/>
        <w:spacing w:before="10" w:after="10" w:line="24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где N - номер этапа реализации.</w:t>
      </w:r>
      <w:r/>
    </w:p>
    <w:p>
      <w:pPr>
        <w:pStyle w:val="707"/>
        <w:spacing w:before="10" w:after="10" w:line="24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&lt;2&gt; Указанная графа формируется только в таблице текущего этапа реализации муниципальной программы.</w:t>
      </w:r>
      <w:r>
        <w:rPr>
          <w:rFonts w:ascii="Times New Roman" w:hAnsi="Times New Roman"/>
          <w:sz w:val="24"/>
          <w:szCs w:val="24"/>
        </w:rPr>
      </w:r>
      <w:r/>
    </w:p>
    <w:p>
      <w:pPr>
        <w:pStyle w:val="707"/>
        <w:spacing w:before="10" w:after="10" w:line="24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pStyle w:val="685"/>
        <w:ind w:left="4820"/>
        <w:jc w:val="center"/>
        <w:rPr>
          <w:b/>
          <w:color w:val="FF0000"/>
          <w:sz w:val="28"/>
          <w:szCs w:val="28"/>
        </w:rPr>
        <w:sectPr>
          <w:footnotePr/>
          <w:endnotePr/>
          <w:type w:val="nextPage"/>
          <w:pgSz w:w="16838" w:h="11906" w:orient="landscape"/>
          <w:pgMar w:top="1701" w:right="1135" w:bottom="567" w:left="993" w:header="709" w:footer="709" w:gutter="0"/>
          <w:cols w:num="1" w:sep="0" w:space="708" w:equalWidth="1"/>
          <w:docGrid w:linePitch="360"/>
          <w:titlePg/>
        </w:sectPr>
      </w:pPr>
      <w:r>
        <w:rPr>
          <w:b/>
          <w:color w:val="FF0000"/>
          <w:sz w:val="28"/>
          <w:szCs w:val="28"/>
        </w:rPr>
      </w:r>
      <w:r/>
    </w:p>
    <w:p>
      <w:pPr>
        <w:pStyle w:val="685"/>
        <w:ind w:left="48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Приложение № 5</w:t>
      </w:r>
      <w:r/>
    </w:p>
    <w:p>
      <w:pPr>
        <w:pStyle w:val="685"/>
        <w:ind w:left="48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 муниципальной программе </w:t>
      </w:r>
      <w:r>
        <w:rPr>
          <w:b/>
          <w:sz w:val="28"/>
          <w:szCs w:val="28"/>
        </w:rPr>
      </w:r>
      <w:r/>
    </w:p>
    <w:p>
      <w:pPr>
        <w:pStyle w:val="685"/>
        <w:ind w:left="48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Грайворонского городского округа</w:t>
      </w:r>
      <w:r>
        <w:rPr>
          <w:b/>
          <w:sz w:val="28"/>
          <w:szCs w:val="28"/>
        </w:rPr>
      </w:r>
      <w:r/>
    </w:p>
    <w:p>
      <w:pPr>
        <w:pStyle w:val="685"/>
        <w:ind w:left="4820"/>
        <w:jc w:val="center"/>
        <w:tabs>
          <w:tab w:val="left" w:pos="312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«Совершенствование и развитие транспортной системы </w:t>
        <w:br/>
        <w:t xml:space="preserve">и дорожной сети Грайворонского городского округа»</w:t>
      </w:r>
      <w:r/>
    </w:p>
    <w:p>
      <w:pPr>
        <w:pStyle w:val="685"/>
        <w:ind w:left="48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685"/>
        <w:ind w:left="48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6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СВЕДЕНИЯ О МЕТОДИКЕ РАСЧЕТА </w:t>
        <w:br/>
        <w:t xml:space="preserve">показателей конечного результата муниципальной программы</w:t>
      </w:r>
      <w:r/>
    </w:p>
    <w:p>
      <w:pPr>
        <w:pStyle w:val="685"/>
      </w:pPr>
      <w:r/>
      <w:r/>
    </w:p>
    <w:tbl>
      <w:tblPr>
        <w:tblW w:w="9605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816"/>
        <w:gridCol w:w="2231"/>
        <w:gridCol w:w="1332"/>
        <w:gridCol w:w="2212"/>
        <w:gridCol w:w="1615"/>
        <w:gridCol w:w="1399"/>
      </w:tblGrid>
      <w:tr>
        <w:trPr>
          <w:tblHeader/>
        </w:trPr>
        <w:tc>
          <w:tcPr>
            <w:tcW w:w="81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№ п/п</w:t>
            </w:r>
            <w:r/>
          </w:p>
        </w:tc>
        <w:tc>
          <w:tcPr>
            <w:tcW w:w="223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Наименование показателя конечного результата</w:t>
            </w:r>
            <w:r/>
          </w:p>
        </w:tc>
        <w:tc>
          <w:tcPr>
            <w:tcW w:w="1332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Единица измерения</w:t>
            </w:r>
            <w:r/>
          </w:p>
        </w:tc>
        <w:tc>
          <w:tcPr>
            <w:tcW w:w="2212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Алгоритм формирования (формула)</w:t>
            </w:r>
            <w:r/>
          </w:p>
          <w:p>
            <w:pPr>
              <w:pStyle w:val="68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и методологические пояснения</w:t>
            </w:r>
            <w:r/>
          </w:p>
          <w:p>
            <w:pPr>
              <w:pStyle w:val="68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к показателю</w:t>
            </w:r>
            <w:r/>
          </w:p>
          <w:p>
            <w:pPr>
              <w:pStyle w:val="68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fldChar w:fldCharType="begin"/>
            </w:r>
            <w:r>
              <w:rPr>
                <w:b/>
                <w:color w:val="000000"/>
                <w:sz w:val="24"/>
                <w:szCs w:val="24"/>
              </w:rPr>
              <w:instrText xml:space="preserve">HYPERLINK \l "P1074"</w:instrText>
            </w:r>
            <w:r>
              <w:rPr>
                <w:b/>
                <w:color w:val="000000"/>
                <w:sz w:val="24"/>
                <w:szCs w:val="24"/>
              </w:rPr>
              <w:fldChar w:fldCharType="separate"/>
            </w:r>
            <w:r>
              <w:rPr>
                <w:rStyle w:val="711"/>
                <w:b/>
                <w:color w:val="000000"/>
                <w:sz w:val="24"/>
                <w:szCs w:val="24"/>
                <w:u w:val="none"/>
              </w:rPr>
              <w:t xml:space="preserve">&lt;1&gt;</w:t>
            </w:r>
            <w:r>
              <w:rPr>
                <w:b/>
                <w:color w:val="000000"/>
                <w:sz w:val="24"/>
                <w:szCs w:val="24"/>
              </w:rPr>
              <w:fldChar w:fldCharType="end"/>
            </w:r>
            <w:r>
              <w:rPr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1615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Метод сбора информации </w:t>
            </w:r>
            <w:r>
              <w:rPr>
                <w:b/>
                <w:color w:val="000000"/>
                <w:sz w:val="24"/>
                <w:szCs w:val="24"/>
              </w:rPr>
              <w:fldChar w:fldCharType="begin"/>
            </w:r>
            <w:r>
              <w:rPr>
                <w:b/>
                <w:color w:val="000000"/>
                <w:sz w:val="24"/>
                <w:szCs w:val="24"/>
              </w:rPr>
              <w:instrText xml:space="preserve">HYPERLINK \l "P1075"</w:instrText>
            </w:r>
            <w:r>
              <w:rPr>
                <w:b/>
                <w:color w:val="000000"/>
                <w:sz w:val="24"/>
                <w:szCs w:val="24"/>
              </w:rPr>
              <w:fldChar w:fldCharType="separate"/>
            </w:r>
            <w:r>
              <w:rPr>
                <w:rStyle w:val="711"/>
                <w:b/>
                <w:color w:val="000000"/>
                <w:sz w:val="24"/>
                <w:szCs w:val="24"/>
                <w:u w:val="none"/>
              </w:rPr>
              <w:t xml:space="preserve">&lt;2&gt;</w:t>
            </w:r>
            <w:r>
              <w:rPr>
                <w:b/>
                <w:color w:val="000000"/>
                <w:sz w:val="24"/>
                <w:szCs w:val="24"/>
              </w:rPr>
              <w:fldChar w:fldCharType="end"/>
            </w:r>
            <w:r>
              <w:rPr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1399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Временные характе-ристики показателя </w:t>
            </w:r>
            <w:r>
              <w:rPr>
                <w:b/>
                <w:color w:val="000000"/>
                <w:sz w:val="24"/>
                <w:szCs w:val="24"/>
              </w:rPr>
              <w:fldChar w:fldCharType="begin"/>
            </w:r>
            <w:r>
              <w:rPr>
                <w:b/>
                <w:color w:val="000000"/>
                <w:sz w:val="24"/>
                <w:szCs w:val="24"/>
              </w:rPr>
              <w:instrText xml:space="preserve">HYPERLINK \l "P1076"</w:instrText>
            </w:r>
            <w:r>
              <w:rPr>
                <w:b/>
                <w:color w:val="000000"/>
                <w:sz w:val="24"/>
                <w:szCs w:val="24"/>
              </w:rPr>
              <w:fldChar w:fldCharType="separate"/>
            </w:r>
            <w:r>
              <w:rPr>
                <w:rStyle w:val="711"/>
                <w:b/>
                <w:color w:val="000000"/>
                <w:sz w:val="24"/>
                <w:szCs w:val="24"/>
                <w:u w:val="none"/>
              </w:rPr>
              <w:t xml:space="preserve">&lt;3&gt;</w:t>
            </w:r>
            <w:r>
              <w:rPr>
                <w:b/>
                <w:color w:val="000000"/>
                <w:sz w:val="24"/>
                <w:szCs w:val="24"/>
              </w:rPr>
              <w:fldChar w:fldCharType="end"/>
            </w:r>
            <w:r>
              <w:rPr>
                <w:b/>
                <w:color w:val="000000"/>
                <w:sz w:val="24"/>
                <w:szCs w:val="24"/>
              </w:rPr>
            </w:r>
            <w:r/>
          </w:p>
        </w:tc>
      </w:tr>
      <w:tr>
        <w:trPr/>
        <w:tc>
          <w:tcPr>
            <w:tcW w:w="81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/>
          </w:p>
        </w:tc>
        <w:tc>
          <w:tcPr>
            <w:tcW w:w="223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Муниципальная программа «Совершенствова-ние и развитие транспортной системы</w:t>
            </w:r>
            <w:r/>
          </w:p>
          <w:p>
            <w:pPr>
              <w:pStyle w:val="6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 дорожной сети Грайворонского городского округа»</w:t>
            </w:r>
            <w:r/>
          </w:p>
        </w:tc>
        <w:tc>
          <w:tcPr>
            <w:tcW w:w="1332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2212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615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399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</w:tr>
      <w:tr>
        <w:trPr/>
        <w:tc>
          <w:tcPr>
            <w:tcW w:w="81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/>
          </w:p>
        </w:tc>
        <w:tc>
          <w:tcPr>
            <w:tcW w:w="223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Показатель 1:</w:t>
            </w:r>
            <w:r/>
          </w:p>
          <w:p>
            <w:pPr>
              <w:pStyle w:val="6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Доля автомобильных дорог местного значения, относящихся</w:t>
            </w:r>
            <w:r/>
          </w:p>
          <w:p>
            <w:pPr>
              <w:pStyle w:val="6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улично-дорожной сети населенных пунктов, соответствующих нормативным требованиям</w:t>
            </w:r>
            <w:r/>
          </w:p>
          <w:p>
            <w:pPr>
              <w:pStyle w:val="6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транспортно-эксплуатационным показателям,</w:t>
            </w:r>
            <w:r/>
          </w:p>
          <w:p>
            <w:pPr>
              <w:pStyle w:val="6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общей протяженности</w:t>
            </w:r>
            <w:r/>
          </w:p>
          <w:p>
            <w:pPr>
              <w:pStyle w:val="6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автомобильных дорог</w:t>
            </w:r>
            <w:r/>
          </w:p>
          <w:p>
            <w:pPr>
              <w:pStyle w:val="6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332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%</w:t>
            </w:r>
            <w:r/>
          </w:p>
        </w:tc>
        <w:tc>
          <w:tcPr>
            <w:tcW w:w="2212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Ан=(Ао/По)*100%, где</w:t>
            </w:r>
            <w:r/>
          </w:p>
          <w:p>
            <w:pPr>
              <w:pStyle w:val="6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 – доля автодорог, соответствующих нормативным требованиям в процентах,</w:t>
            </w:r>
            <w:r/>
          </w:p>
          <w:p>
            <w:pPr>
              <w:pStyle w:val="6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Ао – протяжённость отремонтированных автодорог в км,</w:t>
            </w:r>
            <w:r/>
          </w:p>
          <w:p>
            <w:pPr>
              <w:pStyle w:val="6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– общая протяжённость автодорог местного значения в км.</w:t>
            </w:r>
            <w:r/>
          </w:p>
        </w:tc>
        <w:tc>
          <w:tcPr>
            <w:tcW w:w="1615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Единов-ременное обследование</w:t>
            </w:r>
            <w:r/>
          </w:p>
        </w:tc>
        <w:tc>
          <w:tcPr>
            <w:tcW w:w="1399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</w:t>
            </w:r>
            <w:r/>
          </w:p>
        </w:tc>
      </w:tr>
      <w:tr>
        <w:trPr/>
        <w:tc>
          <w:tcPr>
            <w:tcW w:w="81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/>
          </w:p>
        </w:tc>
        <w:tc>
          <w:tcPr>
            <w:tcW w:w="223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Показатель 2: Общая протяженность отремонтированных автодорог местного значения, относящихся</w:t>
            </w:r>
            <w:r/>
          </w:p>
          <w:p>
            <w:pPr>
              <w:pStyle w:val="6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улично-дорожной сети населенных пунктов городского округа</w:t>
            </w:r>
            <w:r/>
          </w:p>
        </w:tc>
        <w:tc>
          <w:tcPr>
            <w:tcW w:w="1332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км</w:t>
            </w:r>
            <w:r/>
          </w:p>
        </w:tc>
        <w:tc>
          <w:tcPr>
            <w:tcW w:w="2212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Ао – протяжённость отремонтированных дорог</w:t>
            </w:r>
            <w:r/>
          </w:p>
        </w:tc>
        <w:tc>
          <w:tcPr>
            <w:tcW w:w="1615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Единов-ременное обследование</w:t>
            </w:r>
            <w:r/>
          </w:p>
        </w:tc>
        <w:tc>
          <w:tcPr>
            <w:tcW w:w="1399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</w:t>
            </w:r>
            <w:r/>
          </w:p>
        </w:tc>
      </w:tr>
      <w:tr>
        <w:trPr/>
        <w:tc>
          <w:tcPr>
            <w:tcW w:w="81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/>
          </w:p>
        </w:tc>
        <w:tc>
          <w:tcPr>
            <w:tcW w:w="223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Показатель 3: Пассажирооборот</w:t>
            </w:r>
            <w:r/>
          </w:p>
          <w:p>
            <w:pPr>
              <w:pStyle w:val="6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транспортом общего пользования</w:t>
            </w:r>
            <w:r/>
          </w:p>
        </w:tc>
        <w:tc>
          <w:tcPr>
            <w:tcW w:w="1332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млн.</w:t>
            </w:r>
            <w:r/>
          </w:p>
          <w:p>
            <w:pPr>
              <w:pStyle w:val="6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пасс.-км</w:t>
            </w:r>
            <w:r/>
          </w:p>
        </w:tc>
        <w:tc>
          <w:tcPr>
            <w:tcW w:w="2212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Пп -  пассажирооборот транспортом общего пользования</w:t>
            </w:r>
            <w:r/>
          </w:p>
        </w:tc>
        <w:tc>
          <w:tcPr>
            <w:tcW w:w="1615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Периоди-ческая отчётность</w:t>
            </w:r>
            <w:r/>
          </w:p>
        </w:tc>
        <w:tc>
          <w:tcPr>
            <w:tcW w:w="1399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Ежемесячно</w:t>
            </w:r>
            <w:r/>
          </w:p>
        </w:tc>
      </w:tr>
      <w:tr>
        <w:trPr/>
        <w:tc>
          <w:tcPr>
            <w:tcW w:w="81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</w:t>
            </w:r>
            <w:r/>
          </w:p>
        </w:tc>
        <w:tc>
          <w:tcPr>
            <w:tcW w:w="223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Подпрограмма 1: «Совершенство-вание и развитие дорожной сети»</w:t>
            </w:r>
            <w:r/>
          </w:p>
        </w:tc>
        <w:tc>
          <w:tcPr>
            <w:tcW w:w="1332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2212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615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399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</w:tr>
      <w:tr>
        <w:trPr/>
        <w:tc>
          <w:tcPr>
            <w:tcW w:w="81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</w:t>
            </w:r>
            <w:r/>
          </w:p>
        </w:tc>
        <w:tc>
          <w:tcPr>
            <w:tcW w:w="223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Показатель 1: Общая протяженность отремонтированных автодорог местного значения, относящихся</w:t>
            </w:r>
            <w:r/>
          </w:p>
          <w:p>
            <w:pPr>
              <w:pStyle w:val="6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улично-дорожной сети населенных пунктов городского округа</w:t>
            </w:r>
            <w:r/>
          </w:p>
        </w:tc>
        <w:tc>
          <w:tcPr>
            <w:tcW w:w="1332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км</w:t>
            </w:r>
            <w:r/>
          </w:p>
        </w:tc>
        <w:tc>
          <w:tcPr>
            <w:tcW w:w="2212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Ао – протяжённость отремонтированных дорог</w:t>
            </w:r>
            <w:r/>
          </w:p>
        </w:tc>
        <w:tc>
          <w:tcPr>
            <w:tcW w:w="1615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Единов-ременное обследование</w:t>
            </w:r>
            <w:r/>
          </w:p>
        </w:tc>
        <w:tc>
          <w:tcPr>
            <w:tcW w:w="1399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</w:t>
            </w:r>
            <w:r/>
          </w:p>
        </w:tc>
      </w:tr>
      <w:tr>
        <w:trPr/>
        <w:tc>
          <w:tcPr>
            <w:tcW w:w="81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</w:t>
            </w:r>
            <w:r/>
          </w:p>
        </w:tc>
        <w:tc>
          <w:tcPr>
            <w:tcW w:w="223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Подпрограмма 2: «Совершенство-вание и развитие транспортной системы».</w:t>
            </w:r>
            <w:r/>
          </w:p>
          <w:p>
            <w:pPr>
              <w:pStyle w:val="6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6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332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2212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615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399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</w:tr>
      <w:tr>
        <w:trPr/>
        <w:tc>
          <w:tcPr>
            <w:tcW w:w="816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</w:t>
            </w:r>
            <w:r/>
          </w:p>
        </w:tc>
        <w:tc>
          <w:tcPr>
            <w:tcW w:w="2231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Показатель 1: Количество пригородных внутримуници-пальных маршрутов</w:t>
            </w:r>
            <w:r/>
          </w:p>
        </w:tc>
        <w:tc>
          <w:tcPr>
            <w:tcW w:w="1332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</w:t>
            </w:r>
            <w:r/>
          </w:p>
        </w:tc>
        <w:tc>
          <w:tcPr>
            <w:tcW w:w="2212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Км – количество маршрутов</w:t>
            </w:r>
            <w:r/>
          </w:p>
        </w:tc>
        <w:tc>
          <w:tcPr>
            <w:tcW w:w="1615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Периоди-ческая отчётность</w:t>
            </w:r>
            <w:r/>
          </w:p>
        </w:tc>
        <w:tc>
          <w:tcPr>
            <w:tcW w:w="1399" w:type="dxa"/>
            <w:vAlign w:val="center"/>
            <w:textDirection w:val="lrTb"/>
            <w:noWrap w:val="false"/>
          </w:tcPr>
          <w:p>
            <w:pPr>
              <w:pStyle w:val="6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</w:t>
            </w:r>
            <w:r/>
          </w:p>
        </w:tc>
      </w:tr>
    </w:tbl>
    <w:p>
      <w:pPr>
        <w:pStyle w:val="685"/>
      </w:pPr>
      <w:r/>
      <w:bookmarkStart w:id="5" w:name="P1074"/>
      <w:r/>
      <w:bookmarkEnd w:id="5"/>
      <w:r/>
      <w:r/>
    </w:p>
    <w:p>
      <w:pPr>
        <w:pStyle w:val="685"/>
      </w:pPr>
      <w:r>
        <w:t xml:space="preserve">&lt;1&gt; Приводятся формула и краткий алгоритм расчета. При описании формулы или алгоритма необходимо использовать буквенные обозначения базовых показателей.</w:t>
      </w:r>
      <w:r/>
    </w:p>
    <w:p>
      <w:pPr>
        <w:pStyle w:val="685"/>
      </w:pPr>
      <w:r/>
      <w:bookmarkStart w:id="6" w:name="P1075"/>
      <w:r/>
      <w:bookmarkEnd w:id="6"/>
      <w:r>
        <w:t xml:space="preserve">&lt;2&gt; В графе 8 «Метод сбора информации» указываются:</w:t>
      </w:r>
      <w:r/>
    </w:p>
    <w:p>
      <w:pPr>
        <w:pStyle w:val="685"/>
      </w:pPr>
      <w:r>
        <w:t xml:space="preserve">1 - периодическая отчетность, </w:t>
      </w:r>
      <w:r/>
    </w:p>
    <w:p>
      <w:pPr>
        <w:pStyle w:val="685"/>
      </w:pPr>
      <w:r>
        <w:t xml:space="preserve">2 - перепись, </w:t>
      </w:r>
      <w:r/>
    </w:p>
    <w:p>
      <w:pPr>
        <w:pStyle w:val="685"/>
      </w:pPr>
      <w:r>
        <w:t xml:space="preserve">3 - единовременное обследование (учет), </w:t>
      </w:r>
      <w:r/>
    </w:p>
    <w:p>
      <w:pPr>
        <w:pStyle w:val="685"/>
      </w:pPr>
      <w:r>
        <w:t xml:space="preserve">4 - бухгалтерская отчетность, </w:t>
      </w:r>
      <w:r/>
    </w:p>
    <w:p>
      <w:pPr>
        <w:pStyle w:val="685"/>
      </w:pPr>
      <w:r>
        <w:t xml:space="preserve">5 - финансовая отчетность, </w:t>
      </w:r>
      <w:r/>
    </w:p>
    <w:p>
      <w:pPr>
        <w:pStyle w:val="685"/>
      </w:pPr>
      <w:r>
        <w:t xml:space="preserve">6 - социологический опрос, </w:t>
      </w:r>
      <w:r/>
    </w:p>
    <w:p>
      <w:pPr>
        <w:pStyle w:val="685"/>
      </w:pPr>
      <w:r>
        <w:t xml:space="preserve">7 - административная информация, </w:t>
      </w:r>
      <w:r/>
    </w:p>
    <w:p>
      <w:pPr>
        <w:pStyle w:val="685"/>
      </w:pPr>
      <w:r>
        <w:t xml:space="preserve">8 - прочие (указать). </w:t>
      </w:r>
      <w:r/>
    </w:p>
    <w:p>
      <w:pPr>
        <w:pStyle w:val="685"/>
      </w:pPr>
      <w:r>
        <w:t xml:space="preserve">При наличии утвержденной формы федерального статистического наблюдения приводятся наименование формы и реквизиты акта, которым она утверждена.</w:t>
      </w:r>
      <w:r/>
    </w:p>
    <w:p>
      <w:pPr>
        <w:pStyle w:val="685"/>
      </w:pPr>
      <w:r/>
      <w:bookmarkStart w:id="7" w:name="P1076"/>
      <w:r/>
      <w:bookmarkEnd w:id="7"/>
      <w:r>
        <w:t xml:space="preserve">&lt;3&gt; Указываются периодичность сбора данных и вид временной характеристики (показатель на дату, показатель за период).</w:t>
      </w:r>
      <w:r/>
    </w:p>
    <w:p>
      <w:pPr>
        <w:pStyle w:val="685"/>
      </w:pPr>
      <w:r/>
      <w:r/>
    </w:p>
    <w:p>
      <w:pPr>
        <w:pStyle w:val="685"/>
      </w:pPr>
      <w:r/>
      <w:r/>
    </w:p>
    <w:p>
      <w:pPr>
        <w:pStyle w:val="685"/>
        <w:ind w:left="4820"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</w:r>
      <w:r/>
    </w:p>
    <w:sectPr>
      <w:headerReference w:type="default" r:id="rId10"/>
      <w:headerReference w:type="even" r:id="rId11"/>
      <w:headerReference w:type="first" r:id="rId12"/>
      <w:footnotePr/>
      <w:endnotePr/>
      <w:type w:val="nextPage"/>
      <w:pgSz w:w="11906" w:h="16838" w:orient="portrait"/>
      <w:pgMar w:top="1135" w:right="567" w:bottom="993" w:left="1701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Arial Narrow">
    <w:panose1 w:val="020B0606020202030204"/>
  </w:font>
  <w:font w:name="timesnewromanps-boldmt">
    <w:panose1 w:val="02020603050405020304"/>
  </w:font>
  <w:font w:name="Times New Roman">
    <w:panose1 w:val="02020603050405020304"/>
  </w:font>
  <w:font w:name="Calibri">
    <w:panose1 w:val="020F0502020204030204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6"/>
      <w:rPr>
        <w:rStyle w:val="698"/>
      </w:rPr>
      <w:framePr w:wrap="around" w:vAnchor="text" w:hAnchor="margin" w:xAlign="center" w:y="1"/>
    </w:pPr>
    <w:r>
      <w:rPr>
        <w:rStyle w:val="698"/>
      </w:rPr>
      <w:fldChar w:fldCharType="begin"/>
    </w:r>
    <w:r>
      <w:rPr>
        <w:rStyle w:val="698"/>
      </w:rPr>
      <w:instrText xml:space="preserve">PAGE  </w:instrText>
    </w:r>
    <w:r>
      <w:rPr>
        <w:rStyle w:val="698"/>
      </w:rPr>
      <w:fldChar w:fldCharType="separate"/>
    </w:r>
    <w:r>
      <w:rPr>
        <w:rStyle w:val="698"/>
      </w:rPr>
      <w:t xml:space="preserve">29</w:t>
    </w:r>
    <w:r>
      <w:rPr>
        <w:rStyle w:val="698"/>
      </w:rPr>
      <w:fldChar w:fldCharType="end"/>
    </w:r>
    <w:r>
      <w:rPr>
        <w:rStyle w:val="698"/>
      </w:rPr>
    </w:r>
    <w:r/>
  </w:p>
  <w:p>
    <w:pPr>
      <w:pStyle w:val="696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6"/>
      <w:rPr>
        <w:rStyle w:val="698"/>
      </w:rPr>
      <w:framePr w:wrap="around" w:vAnchor="text" w:hAnchor="margin" w:xAlign="center" w:y="1"/>
    </w:pPr>
    <w:r>
      <w:rPr>
        <w:rStyle w:val="698"/>
      </w:rPr>
      <w:fldChar w:fldCharType="begin"/>
    </w:r>
    <w:r>
      <w:rPr>
        <w:rStyle w:val="698"/>
      </w:rPr>
      <w:instrText xml:space="preserve">PAGE  </w:instrText>
    </w:r>
    <w:r>
      <w:rPr>
        <w:rStyle w:val="698"/>
      </w:rPr>
      <w:fldChar w:fldCharType="end"/>
    </w:r>
    <w:r>
      <w:rPr>
        <w:rStyle w:val="698"/>
      </w:rPr>
    </w:r>
    <w:r/>
  </w:p>
  <w:p>
    <w:pPr>
      <w:pStyle w:val="696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6"/>
      <w:rPr>
        <w:rStyle w:val="698"/>
      </w:rPr>
      <w:framePr w:wrap="around" w:vAnchor="text" w:hAnchor="margin" w:xAlign="center" w:y="1"/>
    </w:pPr>
    <w:r>
      <w:rPr>
        <w:rStyle w:val="698"/>
      </w:rPr>
      <w:fldChar w:fldCharType="begin"/>
    </w:r>
    <w:r>
      <w:rPr>
        <w:rStyle w:val="698"/>
      </w:rPr>
      <w:instrText xml:space="preserve">PAGE  </w:instrText>
    </w:r>
    <w:r>
      <w:rPr>
        <w:rStyle w:val="698"/>
      </w:rPr>
      <w:fldChar w:fldCharType="separate"/>
    </w:r>
    <w:r>
      <w:rPr>
        <w:rStyle w:val="698"/>
      </w:rPr>
      <w:t xml:space="preserve">54</w:t>
    </w:r>
    <w:r>
      <w:rPr>
        <w:rStyle w:val="698"/>
      </w:rPr>
      <w:fldChar w:fldCharType="end"/>
    </w:r>
    <w:r>
      <w:rPr>
        <w:rStyle w:val="698"/>
      </w:rPr>
    </w:r>
    <w:r/>
  </w:p>
  <w:p>
    <w:pPr>
      <w:pStyle w:val="696"/>
    </w:pPr>
    <w:r/>
    <w:r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6"/>
      <w:rPr>
        <w:rStyle w:val="698"/>
      </w:rPr>
      <w:framePr w:wrap="around" w:vAnchor="text" w:hAnchor="margin" w:xAlign="center" w:y="1"/>
    </w:pPr>
    <w:r>
      <w:rPr>
        <w:rStyle w:val="698"/>
      </w:rPr>
      <w:fldChar w:fldCharType="begin"/>
    </w:r>
    <w:r>
      <w:rPr>
        <w:rStyle w:val="698"/>
      </w:rPr>
      <w:instrText xml:space="preserve">PAGE  </w:instrText>
    </w:r>
    <w:r>
      <w:rPr>
        <w:rStyle w:val="698"/>
      </w:rPr>
      <w:fldChar w:fldCharType="end"/>
    </w:r>
    <w:r>
      <w:rPr>
        <w:rStyle w:val="698"/>
      </w:rPr>
    </w:r>
    <w:r/>
  </w:p>
  <w:p>
    <w:pPr>
      <w:pStyle w:val="696"/>
    </w:pPr>
    <w:r/>
    <w:r/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6"/>
      <w:jc w:val="center"/>
    </w:pPr>
    <w:r/>
    <w:r/>
  </w:p>
  <w:p>
    <w:pPr>
      <w:pStyle w:val="696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bidi="ar-SA" w:eastAsia="zh-C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685"/>
    <w:next w:val="685"/>
    <w:link w:val="12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12">
    <w:name w:val="Heading 1 Char"/>
    <w:basedOn w:val="9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685"/>
    <w:next w:val="685"/>
    <w:link w:val="1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14">
    <w:name w:val="Heading 2 Char"/>
    <w:basedOn w:val="9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685"/>
    <w:next w:val="685"/>
    <w:link w:val="1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16">
    <w:name w:val="Heading 3 Char"/>
    <w:basedOn w:val="9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685"/>
    <w:next w:val="685"/>
    <w:link w:val="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18">
    <w:name w:val="Heading 4 Char"/>
    <w:basedOn w:val="9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685"/>
    <w:next w:val="685"/>
    <w:link w:val="2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20">
    <w:name w:val="Heading 5 Char"/>
    <w:basedOn w:val="9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685"/>
    <w:next w:val="685"/>
    <w:link w:val="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22">
    <w:name w:val="Heading 6 Char"/>
    <w:basedOn w:val="9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685"/>
    <w:next w:val="685"/>
    <w:link w:val="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24">
    <w:name w:val="Heading 7 Char"/>
    <w:basedOn w:val="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685"/>
    <w:next w:val="685"/>
    <w:link w:val="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26">
    <w:name w:val="Heading 8 Char"/>
    <w:basedOn w:val="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685"/>
    <w:next w:val="685"/>
    <w:link w:val="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28">
    <w:name w:val="Heading 9 Char"/>
    <w:basedOn w:val="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31">
    <w:name w:val="No Spacing"/>
    <w:uiPriority w:val="1"/>
    <w:qFormat/>
    <w:pPr>
      <w:spacing w:before="0" w:after="0" w:line="240" w:lineRule="auto"/>
    </w:pPr>
  </w:style>
  <w:style w:type="paragraph" w:styleId="32">
    <w:name w:val="Title"/>
    <w:basedOn w:val="685"/>
    <w:next w:val="685"/>
    <w:link w:val="3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3">
    <w:name w:val="Title Char"/>
    <w:basedOn w:val="9"/>
    <w:link w:val="32"/>
    <w:uiPriority w:val="10"/>
    <w:rPr>
      <w:sz w:val="48"/>
      <w:szCs w:val="48"/>
    </w:rPr>
  </w:style>
  <w:style w:type="paragraph" w:styleId="34">
    <w:name w:val="Subtitle"/>
    <w:basedOn w:val="685"/>
    <w:next w:val="685"/>
    <w:link w:val="35"/>
    <w:uiPriority w:val="11"/>
    <w:qFormat/>
    <w:pPr>
      <w:spacing w:before="200" w:after="200"/>
    </w:pPr>
    <w:rPr>
      <w:sz w:val="24"/>
      <w:szCs w:val="24"/>
    </w:rPr>
  </w:style>
  <w:style w:type="character" w:styleId="35">
    <w:name w:val="Subtitle Char"/>
    <w:basedOn w:val="9"/>
    <w:link w:val="34"/>
    <w:uiPriority w:val="11"/>
    <w:rPr>
      <w:sz w:val="24"/>
      <w:szCs w:val="24"/>
    </w:rPr>
  </w:style>
  <w:style w:type="paragraph" w:styleId="36">
    <w:name w:val="Quote"/>
    <w:basedOn w:val="685"/>
    <w:next w:val="685"/>
    <w:link w:val="37"/>
    <w:uiPriority w:val="29"/>
    <w:qFormat/>
    <w:pPr>
      <w:ind w:left="720" w:right="720"/>
    </w:pPr>
    <w:rPr>
      <w:i/>
    </w:r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685"/>
    <w:next w:val="685"/>
    <w:link w:val="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685"/>
    <w:link w:val="4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9"/>
    <w:link w:val="40"/>
    <w:uiPriority w:val="99"/>
  </w:style>
  <w:style w:type="paragraph" w:styleId="42">
    <w:name w:val="Footer"/>
    <w:basedOn w:val="685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9"/>
    <w:link w:val="42"/>
    <w:uiPriority w:val="99"/>
  </w:style>
  <w:style w:type="paragraph" w:styleId="44">
    <w:name w:val="Caption"/>
    <w:basedOn w:val="685"/>
    <w:next w:val="68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3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3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3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3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3">
    <w:name w:val="Grid Table 1 Light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1">
    <w:name w:val="Grid Table 2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4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">
    <w:name w:val="Grid Table 4 - Accent 1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">
    <w:name w:val="Grid Table 4 - Accent 2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">
    <w:name w:val="Grid Table 4 - Accent 3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">
    <w:name w:val="Grid Table 4 - Accent 4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">
    <w:name w:val="Grid Table 4 - Accent 5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">
    <w:name w:val="Grid Table 4 - Accent 6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">
    <w:name w:val="Grid Table 5 Dark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">
    <w:name w:val="Grid Table 5 Dark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3">
    <w:name w:val="Grid Table 5 Dark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5">
    <w:name w:val="Grid Table 5 Dark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8">
    <w:name w:val="Grid Table 6 Colorful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6">
    <w:name w:val="Grid Table 7 Colorful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2">
    <w:name w:val="List Table 1 Light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">
    <w:name w:val="List Table 1 Light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0">
    <w:name w:val="List Table 2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1">
    <w:name w:val="List Table 2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2">
    <w:name w:val="List Table 2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3">
    <w:name w:val="List Table 2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">
    <w:name w:val="List Table 2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5">
    <w:name w:val="List Table 2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6">
    <w:name w:val="List Table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8">
    <w:name w:val="List Table 6 Colorful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39">
    <w:name w:val="List Table 6 Colorful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0">
    <w:name w:val="List Table 6 Colorful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1">
    <w:name w:val="List Table 6 Colorful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2">
    <w:name w:val="List Table 6 Colorful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3">
    <w:name w:val="List Table 6 Colorful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4">
    <w:name w:val="List Table 7 Colorful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2">
    <w:name w:val="Lined - Accent 1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3">
    <w:name w:val="Lined - Accent 2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4">
    <w:name w:val="Lined - Accent 3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5">
    <w:name w:val="Lined - Accent 4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6">
    <w:name w:val="Lined - Accent 5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7">
    <w:name w:val="Lined - Accent 6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8">
    <w:name w:val="Bordered &amp; Lined - Accent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9">
    <w:name w:val="Bordered &amp; Lined - Accent 1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0">
    <w:name w:val="Bordered &amp; Lined - Accent 2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1">
    <w:name w:val="Bordered &amp; Lined - Accent 3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2">
    <w:name w:val="Bordered &amp; Lined - Accent 4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3">
    <w:name w:val="Bordered &amp; Lined - Accent 5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4">
    <w:name w:val="Bordered &amp; Lined - Accent 6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5">
    <w:name w:val="Bordered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6">
    <w:name w:val="Bordered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7">
    <w:name w:val="Bordered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8">
    <w:name w:val="Bordered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69">
    <w:name w:val="Bordered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0">
    <w:name w:val="Bordered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1">
    <w:name w:val="Bordered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685"/>
    <w:link w:val="174"/>
    <w:uiPriority w:val="99"/>
    <w:semiHidden/>
    <w:unhideWhenUsed/>
    <w:pPr>
      <w:spacing w:after="40" w:line="240" w:lineRule="auto"/>
    </w:pPr>
    <w:rPr>
      <w:sz w:val="18"/>
    </w:r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9"/>
    <w:uiPriority w:val="99"/>
    <w:unhideWhenUsed/>
    <w:rPr>
      <w:vertAlign w:val="superscript"/>
    </w:rPr>
  </w:style>
  <w:style w:type="paragraph" w:styleId="176">
    <w:name w:val="endnote text"/>
    <w:basedOn w:val="685"/>
    <w:link w:val="177"/>
    <w:uiPriority w:val="99"/>
    <w:semiHidden/>
    <w:unhideWhenUsed/>
    <w:pPr>
      <w:spacing w:after="0" w:line="240" w:lineRule="auto"/>
    </w:pPr>
    <w:rPr>
      <w:sz w:val="20"/>
    </w:r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9"/>
    <w:uiPriority w:val="99"/>
    <w:semiHidden/>
    <w:unhideWhenUsed/>
    <w:rPr>
      <w:vertAlign w:val="superscript"/>
    </w:rPr>
  </w:style>
  <w:style w:type="paragraph" w:styleId="179">
    <w:name w:val="toc 1"/>
    <w:basedOn w:val="685"/>
    <w:next w:val="685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685"/>
    <w:next w:val="685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685"/>
    <w:next w:val="685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685"/>
    <w:next w:val="685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685"/>
    <w:next w:val="685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685"/>
    <w:next w:val="685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685"/>
    <w:next w:val="685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685"/>
    <w:next w:val="685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685"/>
    <w:next w:val="685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685"/>
    <w:next w:val="685"/>
    <w:uiPriority w:val="99"/>
    <w:unhideWhenUsed/>
    <w:pPr>
      <w:spacing w:after="0" w:afterAutospacing="0"/>
    </w:pPr>
  </w:style>
  <w:style w:type="paragraph" w:styleId="685" w:default="1">
    <w:name w:val="Normal"/>
    <w:next w:val="685"/>
    <w:link w:val="685"/>
    <w:rPr>
      <w:lang w:val="ru-RU" w:bidi="ar-SA" w:eastAsia="ru-RU"/>
    </w:rPr>
  </w:style>
  <w:style w:type="paragraph" w:styleId="686">
    <w:name w:val="Заголовок 1"/>
    <w:basedOn w:val="685"/>
    <w:next w:val="686"/>
    <w:link w:val="691"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687">
    <w:name w:val="Заголовок 3"/>
    <w:basedOn w:val="685"/>
    <w:next w:val="687"/>
    <w:link w:val="69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styleId="688">
    <w:name w:val="Основной шрифт абзаца"/>
    <w:next w:val="688"/>
    <w:link w:val="685"/>
    <w:semiHidden/>
  </w:style>
  <w:style w:type="table" w:styleId="689">
    <w:name w:val="Обычная таблица"/>
    <w:next w:val="689"/>
    <w:link w:val="685"/>
    <w:semiHidden/>
    <w:tblPr/>
  </w:style>
  <w:style w:type="numbering" w:styleId="690">
    <w:name w:val="Нет списка"/>
    <w:next w:val="690"/>
    <w:link w:val="685"/>
    <w:semiHidden/>
  </w:style>
  <w:style w:type="character" w:styleId="691">
    <w:name w:val="Заголовок 1 Знак"/>
    <w:basedOn w:val="688"/>
    <w:next w:val="691"/>
    <w:link w:val="686"/>
    <w:rPr>
      <w:b/>
      <w:bCs/>
      <w:sz w:val="48"/>
      <w:szCs w:val="48"/>
    </w:rPr>
  </w:style>
  <w:style w:type="character" w:styleId="692">
    <w:name w:val="Заголовок 3 Знак"/>
    <w:basedOn w:val="688"/>
    <w:next w:val="692"/>
    <w:link w:val="687"/>
    <w:rPr>
      <w:b/>
      <w:bCs/>
      <w:sz w:val="27"/>
      <w:szCs w:val="27"/>
    </w:rPr>
  </w:style>
  <w:style w:type="table" w:styleId="693">
    <w:name w:val="Сетка таблицы"/>
    <w:basedOn w:val="689"/>
    <w:next w:val="693"/>
    <w:link w:val="685"/>
    <w:tblPr/>
  </w:style>
  <w:style w:type="paragraph" w:styleId="694">
    <w:name w:val="Основной текст с отступом 2"/>
    <w:basedOn w:val="685"/>
    <w:next w:val="694"/>
    <w:link w:val="695"/>
    <w:pPr>
      <w:ind w:left="283"/>
      <w:spacing w:after="120" w:line="480" w:lineRule="auto"/>
    </w:pPr>
  </w:style>
  <w:style w:type="character" w:styleId="695">
    <w:name w:val="Основной текст с отступом 2 Знак"/>
    <w:basedOn w:val="688"/>
    <w:next w:val="695"/>
    <w:link w:val="694"/>
  </w:style>
  <w:style w:type="paragraph" w:styleId="696">
    <w:name w:val="Верхний колонтитул"/>
    <w:basedOn w:val="685"/>
    <w:next w:val="696"/>
    <w:link w:val="697"/>
    <w:pPr>
      <w:tabs>
        <w:tab w:val="center" w:pos="4677" w:leader="none"/>
        <w:tab w:val="right" w:pos="9355" w:leader="none"/>
      </w:tabs>
    </w:pPr>
  </w:style>
  <w:style w:type="character" w:styleId="697">
    <w:name w:val="Верхний колонтитул Знак"/>
    <w:basedOn w:val="688"/>
    <w:next w:val="697"/>
    <w:link w:val="696"/>
  </w:style>
  <w:style w:type="character" w:styleId="698">
    <w:name w:val="Номер страницы"/>
    <w:basedOn w:val="688"/>
    <w:next w:val="698"/>
    <w:link w:val="685"/>
  </w:style>
  <w:style w:type="paragraph" w:styleId="699">
    <w:name w:val="Текст выноски"/>
    <w:basedOn w:val="685"/>
    <w:next w:val="699"/>
    <w:link w:val="700"/>
    <w:semiHidden/>
    <w:rPr>
      <w:rFonts w:ascii="Tahoma" w:hAnsi="Tahoma"/>
      <w:sz w:val="16"/>
      <w:szCs w:val="16"/>
    </w:rPr>
  </w:style>
  <w:style w:type="character" w:styleId="700">
    <w:name w:val="Текст выноски Знак"/>
    <w:basedOn w:val="688"/>
    <w:next w:val="700"/>
    <w:link w:val="699"/>
    <w:semiHidden/>
    <w:rPr>
      <w:rFonts w:ascii="Tahoma" w:hAnsi="Tahoma"/>
      <w:sz w:val="16"/>
      <w:szCs w:val="16"/>
    </w:rPr>
  </w:style>
  <w:style w:type="paragraph" w:styleId="701">
    <w:name w:val="Основной текст"/>
    <w:basedOn w:val="685"/>
    <w:next w:val="701"/>
    <w:link w:val="702"/>
    <w:pPr>
      <w:spacing w:after="120"/>
    </w:pPr>
  </w:style>
  <w:style w:type="character" w:styleId="702">
    <w:name w:val="Основной текст Знак"/>
    <w:next w:val="702"/>
    <w:link w:val="701"/>
  </w:style>
  <w:style w:type="paragraph" w:styleId="703">
    <w:name w:val="Обычный (веб)"/>
    <w:basedOn w:val="685"/>
    <w:next w:val="703"/>
    <w:link w:val="685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styleId="704">
    <w:name w:val="Основной текст с отступом Знак"/>
    <w:next w:val="704"/>
    <w:link w:val="705"/>
    <w:rPr>
      <w:sz w:val="24"/>
      <w:szCs w:val="24"/>
      <w:lang w:val="ru-RU" w:bidi="ar-SA" w:eastAsia="ru-RU"/>
    </w:rPr>
  </w:style>
  <w:style w:type="paragraph" w:styleId="705">
    <w:name w:val="Основной текст с отступом"/>
    <w:basedOn w:val="685"/>
    <w:next w:val="705"/>
    <w:link w:val="704"/>
    <w:pPr>
      <w:ind w:left="283"/>
      <w:spacing w:after="120"/>
    </w:pPr>
    <w:rPr>
      <w:sz w:val="24"/>
      <w:szCs w:val="24"/>
    </w:rPr>
  </w:style>
  <w:style w:type="paragraph" w:styleId="706">
    <w:name w:val="List Paragraph"/>
    <w:basedOn w:val="685"/>
    <w:next w:val="706"/>
    <w:link w:val="685"/>
    <w:pPr>
      <w:contextualSpacing/>
      <w:ind w:left="720"/>
    </w:pPr>
    <w:rPr>
      <w:rFonts w:eastAsia="Calibri"/>
      <w:sz w:val="24"/>
      <w:szCs w:val="24"/>
    </w:rPr>
  </w:style>
  <w:style w:type="paragraph" w:styleId="707">
    <w:name w:val="ConsPlusNormal"/>
    <w:next w:val="707"/>
    <w:link w:val="708"/>
    <w:pPr>
      <w:widowControl w:val="off"/>
    </w:pPr>
    <w:rPr>
      <w:rFonts w:ascii="Arial" w:hAnsi="Arial"/>
      <w:lang w:val="ru-RU" w:bidi="ar-SA" w:eastAsia="ru-RU"/>
    </w:rPr>
  </w:style>
  <w:style w:type="character" w:styleId="708">
    <w:name w:val="ConsPlusNormal Знак"/>
    <w:next w:val="708"/>
    <w:link w:val="707"/>
    <w:rPr>
      <w:rFonts w:ascii="Arial" w:hAnsi="Arial"/>
      <w:lang w:val="ru-RU" w:bidi="ar-SA" w:eastAsia="ru-RU"/>
    </w:rPr>
  </w:style>
  <w:style w:type="paragraph" w:styleId="709">
    <w:name w:val="Нижний колонтитул"/>
    <w:basedOn w:val="685"/>
    <w:next w:val="709"/>
    <w:link w:val="710"/>
    <w:pPr>
      <w:tabs>
        <w:tab w:val="center" w:pos="4677" w:leader="none"/>
        <w:tab w:val="right" w:pos="9355" w:leader="none"/>
      </w:tabs>
    </w:pPr>
  </w:style>
  <w:style w:type="character" w:styleId="710">
    <w:name w:val="Нижний колонтитул Знак"/>
    <w:basedOn w:val="688"/>
    <w:next w:val="710"/>
    <w:link w:val="709"/>
  </w:style>
  <w:style w:type="character" w:styleId="711">
    <w:name w:val="Гиперссылка"/>
    <w:next w:val="711"/>
    <w:link w:val="685"/>
    <w:rPr>
      <w:color w:val="0000FF"/>
      <w:u w:val="single"/>
    </w:rPr>
  </w:style>
  <w:style w:type="character" w:styleId="712">
    <w:name w:val="Строгий"/>
    <w:next w:val="712"/>
    <w:link w:val="685"/>
    <w:rPr>
      <w:b/>
      <w:bCs/>
    </w:rPr>
  </w:style>
  <w:style w:type="paragraph" w:styleId="713">
    <w:name w:val="ConsPlusTitle"/>
    <w:next w:val="713"/>
    <w:link w:val="685"/>
    <w:pPr>
      <w:widowControl w:val="off"/>
    </w:pPr>
    <w:rPr>
      <w:rFonts w:ascii="Arial" w:hAnsi="Arial"/>
      <w:b/>
      <w:bCs/>
      <w:lang w:val="ru-RU" w:bidi="ar-SA" w:eastAsia="ru-RU"/>
    </w:rPr>
  </w:style>
  <w:style w:type="paragraph" w:styleId="714">
    <w:name w:val="Основной текст 2"/>
    <w:basedOn w:val="685"/>
    <w:next w:val="714"/>
    <w:link w:val="715"/>
    <w:pPr>
      <w:spacing w:after="120" w:line="480" w:lineRule="auto"/>
    </w:pPr>
    <w:rPr>
      <w:rFonts w:eastAsia="Calibri"/>
      <w:sz w:val="24"/>
      <w:szCs w:val="24"/>
    </w:rPr>
  </w:style>
  <w:style w:type="character" w:styleId="715">
    <w:name w:val="Основной текст 2 Знак"/>
    <w:next w:val="715"/>
    <w:link w:val="714"/>
    <w:rPr>
      <w:rFonts w:eastAsia="Calibri"/>
      <w:sz w:val="24"/>
      <w:szCs w:val="24"/>
      <w:lang w:val="ru-RU" w:bidi="ar-SA" w:eastAsia="ru-RU"/>
    </w:rPr>
  </w:style>
  <w:style w:type="paragraph" w:styleId="716">
    <w:name w:val="Абзац списка"/>
    <w:basedOn w:val="685"/>
    <w:next w:val="716"/>
    <w:link w:val="685"/>
    <w:pPr>
      <w:contextualSpacing/>
      <w:ind w:left="720"/>
    </w:pPr>
    <w:rPr>
      <w:sz w:val="24"/>
      <w:szCs w:val="24"/>
    </w:rPr>
  </w:style>
  <w:style w:type="paragraph" w:styleId="717">
    <w:name w:val="western"/>
    <w:basedOn w:val="685"/>
    <w:next w:val="717"/>
    <w:link w:val="685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718">
    <w:name w:val="Основной текст с отступом 21"/>
    <w:basedOn w:val="685"/>
    <w:next w:val="718"/>
    <w:link w:val="685"/>
    <w:pPr>
      <w:ind w:left="720" w:hanging="851"/>
      <w:jc w:val="both"/>
    </w:pPr>
    <w:rPr>
      <w:sz w:val="28"/>
      <w:lang w:eastAsia="ar-SA"/>
    </w:rPr>
  </w:style>
  <w:style w:type="character" w:styleId="719">
    <w:name w:val="Body text_"/>
    <w:next w:val="719"/>
    <w:link w:val="720"/>
    <w:rPr>
      <w:sz w:val="25"/>
      <w:szCs w:val="25"/>
      <w:lang w:bidi="ar-SA"/>
    </w:rPr>
  </w:style>
  <w:style w:type="paragraph" w:styleId="720">
    <w:name w:val="Body text"/>
    <w:basedOn w:val="685"/>
    <w:next w:val="720"/>
    <w:link w:val="719"/>
    <w:pPr>
      <w:jc w:val="both"/>
      <w:spacing w:line="322" w:lineRule="exact"/>
      <w:shd w:val="clear" w:color="auto" w:fill="ffffff"/>
    </w:pPr>
    <w:rPr>
      <w:sz w:val="25"/>
      <w:szCs w:val="25"/>
      <w:lang w:val="en-US" w:eastAsia="en-US"/>
    </w:rPr>
  </w:style>
  <w:style w:type="paragraph" w:styleId="721">
    <w:name w:val="Название"/>
    <w:basedOn w:val="685"/>
    <w:next w:val="721"/>
    <w:link w:val="722"/>
    <w:pPr>
      <w:jc w:val="center"/>
      <w:tabs>
        <w:tab w:val="left" w:pos="2280" w:leader="none"/>
      </w:tabs>
    </w:pPr>
    <w:rPr>
      <w:b/>
      <w:bCs/>
      <w:sz w:val="40"/>
      <w:lang w:val="en-US" w:eastAsia="en-US"/>
    </w:rPr>
  </w:style>
  <w:style w:type="character" w:styleId="722">
    <w:name w:val="Название Знак"/>
    <w:next w:val="722"/>
    <w:link w:val="721"/>
    <w:rPr>
      <w:b/>
      <w:bCs/>
      <w:sz w:val="40"/>
    </w:rPr>
  </w:style>
  <w:style w:type="character" w:styleId="723">
    <w:name w:val="Font Style11"/>
    <w:next w:val="723"/>
    <w:link w:val="685"/>
    <w:rPr>
      <w:rFonts w:ascii="Times New Roman" w:hAnsi="Times New Roman"/>
      <w:sz w:val="24"/>
      <w:szCs w:val="24"/>
    </w:rPr>
  </w:style>
  <w:style w:type="paragraph" w:styleId="724">
    <w:name w:val="Основной текст 3"/>
    <w:basedOn w:val="685"/>
    <w:next w:val="724"/>
    <w:link w:val="725"/>
    <w:pPr>
      <w:spacing w:after="120"/>
    </w:pPr>
    <w:rPr>
      <w:sz w:val="16"/>
      <w:szCs w:val="16"/>
    </w:rPr>
  </w:style>
  <w:style w:type="character" w:styleId="725">
    <w:name w:val="Основной текст 3 Знак"/>
    <w:basedOn w:val="688"/>
    <w:next w:val="725"/>
    <w:link w:val="724"/>
    <w:rPr>
      <w:sz w:val="16"/>
      <w:szCs w:val="16"/>
    </w:rPr>
  </w:style>
  <w:style w:type="paragraph" w:styleId="726">
    <w:name w:val="ConsPlusNonformat"/>
    <w:next w:val="726"/>
    <w:link w:val="685"/>
    <w:pPr>
      <w:widowControl w:val="off"/>
    </w:pPr>
    <w:rPr>
      <w:rFonts w:ascii="Courier New" w:hAnsi="Courier New" w:eastAsia="Calibri"/>
      <w:lang w:val="ru-RU" w:bidi="ar-SA" w:eastAsia="ru-RU"/>
    </w:rPr>
  </w:style>
  <w:style w:type="character" w:styleId="727">
    <w:name w:val="Основной текст_"/>
    <w:next w:val="727"/>
    <w:link w:val="728"/>
    <w:rPr>
      <w:shd w:val="clear" w:color="auto" w:fill="ffffff"/>
    </w:rPr>
  </w:style>
  <w:style w:type="paragraph" w:styleId="728">
    <w:name w:val="Основной текст1"/>
    <w:basedOn w:val="685"/>
    <w:next w:val="728"/>
    <w:link w:val="727"/>
    <w:pPr>
      <w:ind w:firstLine="400"/>
      <w:shd w:val="clear" w:color="auto" w:fill="ffffff"/>
      <w:widowControl w:val="off"/>
    </w:pPr>
    <w:rPr>
      <w:lang w:val="en-US" w:eastAsia="en-US"/>
    </w:rPr>
  </w:style>
  <w:style w:type="paragraph" w:styleId="731">
    <w:name w:val="UserStyle_23"/>
    <w:basedOn w:val="685"/>
    <w:next w:val="721"/>
    <w:link w:val="685"/>
    <w:pPr>
      <w:jc w:val="center"/>
      <w:tabs>
        <w:tab w:val="left" w:pos="2280" w:leader="none"/>
      </w:tabs>
    </w:pPr>
    <w:rPr>
      <w:b/>
      <w:bCs/>
      <w:sz w:val="40"/>
    </w:rPr>
  </w:style>
  <w:style w:type="paragraph" w:styleId="732">
    <w:name w:val="docdata,docy,v5,1799,bqiaagaaeyqcaaagiaiaaap1awaabqmeaaaaaaaaaaaaaaaaaaaaaaaaaaaaaaaaaaaaaaaaaaaaaaaaaaaaaaaaaaaaaaaaaaaaaaaaaaaaaaaaaaaaaaaaaaaaaaaaaaaaaaaaaaaaaaaaaaaaaaaaaaaaaaaaaaaaaaaaaaaaaaaaaaaaaaaaaaaaaaaaaaaaaaaaaaaaaaaaaaaaaaaaaaaaaaaaaaaaaaaa"/>
    <w:basedOn w:val="685"/>
    <w:next w:val="732"/>
    <w:link w:val="685"/>
    <w:pPr>
      <w:spacing w:before="100" w:beforeAutospacing="1" w:after="100" w:afterAutospacing="1"/>
    </w:pPr>
    <w:rPr>
      <w:sz w:val="24"/>
      <w:szCs w:val="24"/>
    </w:rPr>
  </w:style>
  <w:style w:type="character" w:styleId="733">
    <w:name w:val="fontstyle01"/>
    <w:basedOn w:val="688"/>
    <w:next w:val="733"/>
    <w:link w:val="685"/>
    <w:rPr>
      <w:rFonts w:ascii="TimesNewRomanPS-BoldMT" w:hAnsi="TimesNewRomanPS-BoldMT"/>
      <w:b/>
      <w:bCs/>
      <w:color w:val="000000"/>
      <w:sz w:val="26"/>
      <w:szCs w:val="26"/>
    </w:rPr>
  </w:style>
  <w:style w:type="paragraph" w:styleId="734">
    <w:name w:val="Основной текст 21"/>
    <w:basedOn w:val="685"/>
    <w:next w:val="734"/>
    <w:link w:val="685"/>
    <w:pPr>
      <w:ind w:left="567" w:firstLine="567"/>
      <w:jc w:val="both"/>
      <w:spacing w:after="120" w:line="480" w:lineRule="auto"/>
      <w:widowControl w:val="off"/>
    </w:pPr>
    <w:rPr>
      <w:rFonts w:ascii="Calibri" w:hAnsi="Calibri" w:eastAsia="Calibri"/>
      <w:sz w:val="22"/>
      <w:szCs w:val="22"/>
      <w:lang w:bidi="hi-IN" w:eastAsia="hi-IN"/>
    </w:rPr>
  </w:style>
  <w:style w:type="character" w:styleId="735">
    <w:name w:val="Основной текст (4)"/>
    <w:next w:val="735"/>
    <w:link w:val="685"/>
    <w:rPr>
      <w:b/>
      <w:bCs/>
      <w:sz w:val="26"/>
      <w:szCs w:val="26"/>
      <w:lang w:bidi="ar-SA"/>
    </w:rPr>
  </w:style>
  <w:style w:type="character" w:styleId="736">
    <w:name w:val="Основной текст (2)_"/>
    <w:basedOn w:val="688"/>
    <w:next w:val="736"/>
    <w:link w:val="737"/>
    <w:rPr>
      <w:b/>
      <w:bCs/>
      <w:sz w:val="25"/>
      <w:szCs w:val="25"/>
      <w:shd w:val="clear" w:color="auto" w:fill="ffffff"/>
    </w:rPr>
  </w:style>
  <w:style w:type="paragraph" w:styleId="737">
    <w:name w:val="Основной текст (2)"/>
    <w:basedOn w:val="685"/>
    <w:next w:val="737"/>
    <w:link w:val="736"/>
    <w:pPr>
      <w:jc w:val="center"/>
      <w:spacing w:before="240" w:after="360" w:line="240" w:lineRule="atLeast"/>
      <w:shd w:val="clear" w:color="auto" w:fill="ffffff"/>
    </w:pPr>
    <w:rPr>
      <w:b/>
      <w:bCs/>
      <w:sz w:val="25"/>
      <w:szCs w:val="25"/>
    </w:rPr>
  </w:style>
  <w:style w:type="paragraph" w:styleId="738">
    <w:name w:val="Обычный + По ширине"/>
    <w:basedOn w:val="685"/>
    <w:next w:val="738"/>
    <w:link w:val="685"/>
    <w:pPr>
      <w:jc w:val="both"/>
    </w:pPr>
    <w:rPr>
      <w:sz w:val="28"/>
      <w:szCs w:val="24"/>
    </w:rPr>
  </w:style>
  <w:style w:type="character" w:styleId="739">
    <w:name w:val="1940,bqiaagaaeyqcaaagiaiaaaocbaaabzaeaaaaaaaaaaaaaaaaaaaaaaaaaaaaaaaaaaaaaaaaaaaaaaaaaaaaaaaaaaaaaaaaaaaaaaaaaaaaaaaaaaaaaaaaaaaaaaaaaaaaaaaaaaaaaaaaaaaaaaaaaaaaaaaaaaaaaaaaaaaaaaaaaaaaaaaaaaaaaaaaaaaaaaaaaaaaaaaaaaaaaaaaaaaaaaaaaaaaaaaa"/>
    <w:basedOn w:val="688"/>
    <w:next w:val="739"/>
    <w:link w:val="685"/>
  </w:style>
  <w:style w:type="paragraph" w:styleId="740">
    <w:name w:val="Без интервала"/>
    <w:next w:val="740"/>
    <w:link w:val="685"/>
    <w:rPr>
      <w:rFonts w:ascii="Calibri" w:hAnsi="Calibri" w:eastAsia="Calibri"/>
      <w:sz w:val="22"/>
      <w:szCs w:val="22"/>
      <w:lang w:val="ru-RU" w:bidi="ar-SA" w:eastAsia="en-US"/>
    </w:rPr>
  </w:style>
  <w:style w:type="paragraph" w:styleId="741">
    <w:name w:val="page_text"/>
    <w:basedOn w:val="685"/>
    <w:next w:val="741"/>
    <w:link w:val="685"/>
    <w:pPr>
      <w:spacing w:before="100" w:beforeAutospacing="1" w:after="100" w:afterAutospacing="1"/>
    </w:pPr>
    <w:rPr>
      <w:sz w:val="24"/>
      <w:szCs w:val="24"/>
    </w:rPr>
  </w:style>
  <w:style w:type="paragraph" w:styleId="742">
    <w:name w:val="Paragraph Style"/>
    <w:next w:val="742"/>
    <w:link w:val="685"/>
    <w:pPr>
      <w:widowControl w:val="off"/>
    </w:pPr>
    <w:rPr>
      <w:rFonts w:ascii="Arial" w:hAnsi="Arial"/>
      <w:sz w:val="24"/>
      <w:szCs w:val="24"/>
      <w:lang w:val="ru-RU" w:bidi="ar-SA" w:eastAsia="ru-RU"/>
    </w:rPr>
  </w:style>
  <w:style w:type="paragraph" w:styleId="743">
    <w:name w:val="u"/>
    <w:basedOn w:val="685"/>
    <w:next w:val="743"/>
    <w:link w:val="685"/>
    <w:pPr>
      <w:spacing w:before="100" w:beforeAutospacing="1" w:after="100" w:afterAutospacing="1"/>
    </w:pPr>
    <w:rPr>
      <w:sz w:val="24"/>
      <w:szCs w:val="24"/>
    </w:rPr>
  </w:style>
  <w:style w:type="paragraph" w:styleId="744">
    <w:name w:val="ConsNormal"/>
    <w:next w:val="744"/>
    <w:link w:val="685"/>
    <w:pPr>
      <w:ind w:firstLine="720"/>
      <w:widowControl w:val="off"/>
    </w:pPr>
    <w:rPr>
      <w:rFonts w:ascii="Arial" w:hAnsi="Arial"/>
      <w:lang w:val="ru-RU" w:bidi="ar-SA" w:eastAsia="ru-RU"/>
    </w:rPr>
  </w:style>
  <w:style w:type="character" w:styleId="745">
    <w:name w:val="grame"/>
    <w:basedOn w:val="688"/>
    <w:next w:val="745"/>
    <w:link w:val="685"/>
  </w:style>
  <w:style w:type="paragraph" w:styleId="746">
    <w:name w:val="Текст"/>
    <w:basedOn w:val="685"/>
    <w:next w:val="746"/>
    <w:link w:val="747"/>
    <w:rPr>
      <w:rFonts w:ascii="Courier New" w:hAnsi="Courier New"/>
      <w:b/>
      <w:color w:val="000000"/>
    </w:rPr>
  </w:style>
  <w:style w:type="character" w:styleId="747">
    <w:name w:val="Текст Знак"/>
    <w:basedOn w:val="688"/>
    <w:next w:val="747"/>
    <w:link w:val="746"/>
    <w:rPr>
      <w:rFonts w:ascii="Courier New" w:hAnsi="Courier New"/>
      <w:b/>
      <w:color w:val="000000"/>
    </w:rPr>
  </w:style>
  <w:style w:type="paragraph" w:styleId="748">
    <w:name w:val="Стандартный HTML"/>
    <w:basedOn w:val="685"/>
    <w:next w:val="748"/>
    <w:link w:val="749"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/>
    </w:rPr>
  </w:style>
  <w:style w:type="character" w:styleId="749">
    <w:name w:val="Стандартный HTML Знак"/>
    <w:basedOn w:val="688"/>
    <w:next w:val="749"/>
    <w:link w:val="748"/>
    <w:rPr>
      <w:rFonts w:ascii="Courier New" w:hAnsi="Courier New"/>
    </w:rPr>
  </w:style>
  <w:style w:type="paragraph" w:styleId="750">
    <w:name w:val="Table Paragraph"/>
    <w:basedOn w:val="685"/>
    <w:next w:val="750"/>
    <w:link w:val="685"/>
    <w:pPr>
      <w:widowControl w:val="off"/>
    </w:pPr>
    <w:rPr>
      <w:sz w:val="24"/>
      <w:szCs w:val="24"/>
    </w:rPr>
  </w:style>
  <w:style w:type="character" w:styleId="751">
    <w:name w:val="Заголовок №3_"/>
    <w:basedOn w:val="688"/>
    <w:next w:val="751"/>
    <w:link w:val="752"/>
    <w:rPr>
      <w:b/>
      <w:bCs/>
      <w:sz w:val="22"/>
      <w:szCs w:val="22"/>
      <w:shd w:val="clear" w:color="auto" w:fill="ffffff"/>
    </w:rPr>
  </w:style>
  <w:style w:type="paragraph" w:styleId="752">
    <w:name w:val="Заголовок №3"/>
    <w:basedOn w:val="685"/>
    <w:next w:val="752"/>
    <w:link w:val="751"/>
    <w:pPr>
      <w:ind w:hanging="1940"/>
      <w:jc w:val="both"/>
      <w:spacing w:after="300" w:line="0" w:lineRule="atLeast"/>
      <w:shd w:val="clear" w:color="auto" w:fill="ffffff"/>
      <w:widowControl w:val="off"/>
      <w:outlineLvl w:val="2"/>
    </w:pPr>
    <w:rPr>
      <w:b/>
      <w:bCs/>
      <w:sz w:val="22"/>
      <w:szCs w:val="22"/>
    </w:rPr>
  </w:style>
  <w:style w:type="paragraph" w:styleId="753">
    <w:name w:val="Основной текст4"/>
    <w:basedOn w:val="685"/>
    <w:next w:val="753"/>
    <w:link w:val="685"/>
    <w:pPr>
      <w:jc w:val="center"/>
      <w:spacing w:before="360" w:line="283" w:lineRule="exact"/>
      <w:shd w:val="clear" w:color="auto" w:fill="ffffff"/>
      <w:widowControl w:val="off"/>
    </w:pPr>
    <w:rPr>
      <w:color w:val="000000"/>
      <w:sz w:val="22"/>
      <w:szCs w:val="22"/>
    </w:rPr>
  </w:style>
  <w:style w:type="character" w:styleId="754">
    <w:name w:val="Основной текст + Полужирный;Интервал 3 pt"/>
    <w:basedOn w:val="727"/>
    <w:next w:val="754"/>
    <w:link w:val="685"/>
    <w:rPr>
      <w:rFonts w:ascii="Times New Roman" w:hAnsi="Times New Roman" w:eastAsia="Times New Roman"/>
      <w:b/>
      <w:bCs/>
      <w:spacing w:val="68"/>
      <w:sz w:val="25"/>
      <w:szCs w:val="25"/>
    </w:rPr>
  </w:style>
  <w:style w:type="paragraph" w:styleId="755">
    <w:name w:val="5373,bqiaagaaeyqcaaagiaiaaam7eaaabuuuaaaaaaaaaaaaaaaaaaaaaaaaaaaaaaaaaaaaaaaaaaaaaaaaaaaaaaaaaaaaaaaaaaaaaaaaaaaaaaaaaaaaaaaaaaaaaaaaaaaaaaaaaaaaaaaaaaaaaaaaaaaaaaaaaaaaaaaaaaaaaaaaaaaaaaaaaaaaaaaaaaaaaaaaaaaaaaaaaaaaaaaaaaaaaaaaaaaaaaaa"/>
    <w:basedOn w:val="685"/>
    <w:next w:val="755"/>
    <w:link w:val="685"/>
    <w:pPr>
      <w:spacing w:before="100" w:beforeAutospacing="1" w:after="100" w:afterAutospacing="1"/>
    </w:pPr>
    <w:rPr>
      <w:sz w:val="24"/>
      <w:szCs w:val="24"/>
    </w:rPr>
  </w:style>
  <w:style w:type="paragraph" w:styleId="756">
    <w:name w:val="Название объекта1"/>
    <w:basedOn w:val="685"/>
    <w:next w:val="756"/>
    <w:link w:val="685"/>
    <w:pPr>
      <w:jc w:val="center"/>
      <w:widowControl w:val="off"/>
    </w:pPr>
    <w:rPr>
      <w:sz w:val="32"/>
      <w:szCs w:val="32"/>
      <w:lang w:eastAsia="ar-SA"/>
    </w:rPr>
  </w:style>
  <w:style w:type="character" w:styleId="22553" w:default="1">
    <w:name w:val="Default Paragraph Font"/>
    <w:uiPriority w:val="1"/>
    <w:semiHidden/>
    <w:unhideWhenUsed/>
  </w:style>
  <w:style w:type="numbering" w:styleId="22554" w:default="1">
    <w:name w:val="No List"/>
    <w:uiPriority w:val="99"/>
    <w:semiHidden/>
    <w:unhideWhenUsed/>
  </w:style>
  <w:style w:type="table" w:styleId="22555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_rels/header4.xml.rels><?xml version="1.0" encoding="UTF-8" standalone="yes"?><Relationships xmlns="http://schemas.openxmlformats.org/package/2006/relationships"></Relationships>
</file>

<file path=word/_rels/header5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Р7-Офис/7.0.2.5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2023-04-26T11:54:16Z</dcterms:modified>
</cp:coreProperties>
</file>