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193344" w:rsidP="00C93DC1">
      <w:r>
        <w:t>18</w:t>
      </w:r>
      <w:r w:rsidR="0091272C" w:rsidRPr="00EE27E9">
        <w:t xml:space="preserve"> </w:t>
      </w:r>
      <w:r w:rsidR="00D04CD6">
        <w:t>но</w:t>
      </w:r>
      <w:r w:rsidR="007D69F6">
        <w:t>ября</w:t>
      </w:r>
      <w:r w:rsidR="0091272C" w:rsidRPr="00EE27E9">
        <w:t xml:space="preserve">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   </w:t>
      </w:r>
      <w:r w:rsidR="00C93DC1" w:rsidRPr="00743AC3">
        <w:t xml:space="preserve">    №</w:t>
      </w:r>
      <w:r w:rsidR="00C93DC1">
        <w:t xml:space="preserve"> </w:t>
      </w:r>
      <w:r w:rsidR="00A26742">
        <w:t>571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D114C6" w:rsidRDefault="00D114C6" w:rsidP="00D114C6">
      <w:pPr>
        <w:jc w:val="center"/>
        <w:rPr>
          <w:b/>
        </w:rPr>
      </w:pPr>
      <w:r w:rsidRPr="00D114C6">
        <w:rPr>
          <w:b/>
        </w:rPr>
        <w:t xml:space="preserve">О внесении изменений в местные нормативы градостроительного проектирования Грайворонского городского округа, утвержденные решением Совета депутатов Грайворонского городского округа </w:t>
      </w:r>
    </w:p>
    <w:p w:rsidR="00C93DC1" w:rsidRPr="00D114C6" w:rsidRDefault="00D114C6" w:rsidP="00D114C6">
      <w:pPr>
        <w:jc w:val="center"/>
        <w:rPr>
          <w:b/>
        </w:rPr>
      </w:pPr>
      <w:r w:rsidRPr="00D114C6">
        <w:rPr>
          <w:b/>
        </w:rPr>
        <w:t>от 5 декабря 2018 года №</w:t>
      </w:r>
      <w:r>
        <w:rPr>
          <w:b/>
        </w:rPr>
        <w:t xml:space="preserve"> </w:t>
      </w:r>
      <w:r w:rsidRPr="00D114C6">
        <w:rPr>
          <w:b/>
        </w:rPr>
        <w:t>59</w:t>
      </w:r>
      <w:r>
        <w:rPr>
          <w:b/>
        </w:rPr>
        <w:t xml:space="preserve"> (в редакции от 29 апреля 2021 года № 408)</w:t>
      </w:r>
    </w:p>
    <w:p w:rsidR="00C93DC1" w:rsidRDefault="00C93DC1" w:rsidP="00C93DC1">
      <w:pPr>
        <w:jc w:val="both"/>
      </w:pPr>
    </w:p>
    <w:p w:rsidR="00D114C6" w:rsidRDefault="00D114C6" w:rsidP="00C93DC1">
      <w:pPr>
        <w:jc w:val="both"/>
      </w:pPr>
    </w:p>
    <w:p w:rsidR="00D114C6" w:rsidRPr="001A4777" w:rsidRDefault="00D114C6" w:rsidP="00C93DC1">
      <w:pPr>
        <w:jc w:val="both"/>
      </w:pPr>
    </w:p>
    <w:p w:rsidR="00D114C6" w:rsidRPr="00DB710F" w:rsidRDefault="00D114C6" w:rsidP="00DB710F">
      <w:pPr>
        <w:ind w:firstLine="709"/>
        <w:jc w:val="both"/>
      </w:pPr>
      <w:r>
        <w:t>В соответствии со статьей 29.4 Градостроительного кодекса Российской Федерации,</w:t>
      </w:r>
      <w:r w:rsidR="00E24FCB" w:rsidRPr="00E24FCB">
        <w:t xml:space="preserve"> </w:t>
      </w:r>
      <w:hyperlink r:id="rId8" w:history="1">
        <w:r w:rsidR="00E24FCB" w:rsidRPr="00E24FCB">
          <w:rPr>
            <w:rStyle w:val="a8"/>
            <w:color w:val="auto"/>
            <w:u w:val="none"/>
          </w:rPr>
          <w:t>Федеральн</w:t>
        </w:r>
        <w:r w:rsidR="00E24FCB">
          <w:rPr>
            <w:rStyle w:val="a8"/>
            <w:color w:val="auto"/>
            <w:u w:val="none"/>
          </w:rPr>
          <w:t>ым</w:t>
        </w:r>
        <w:r w:rsidR="00E24FCB" w:rsidRPr="00E24FCB">
          <w:rPr>
            <w:rStyle w:val="a8"/>
            <w:color w:val="auto"/>
            <w:u w:val="none"/>
          </w:rPr>
          <w:t xml:space="preserve"> закон</w:t>
        </w:r>
        <w:r w:rsidR="00E24FCB">
          <w:rPr>
            <w:rStyle w:val="a8"/>
            <w:color w:val="auto"/>
            <w:u w:val="none"/>
          </w:rPr>
          <w:t>ом</w:t>
        </w:r>
        <w:r w:rsidR="00E24FCB" w:rsidRPr="00E24FCB">
          <w:rPr>
            <w:rStyle w:val="a8"/>
            <w:color w:val="auto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</w:t>
        </w:r>
      </w:hyperlink>
      <w:r w:rsidR="00E24FCB">
        <w:t>,</w:t>
      </w:r>
      <w:r>
        <w:t xml:space="preserve"> руководствуясь Уставом Грайворонского городского округа, Совет депутатов Грайворонского городского округа </w:t>
      </w:r>
      <w:proofErr w:type="spellStart"/>
      <w:proofErr w:type="gramStart"/>
      <w:r w:rsidRPr="00D114C6"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D114C6">
        <w:rPr>
          <w:b/>
        </w:rPr>
        <w:t>е</w:t>
      </w:r>
      <w:r>
        <w:rPr>
          <w:b/>
        </w:rPr>
        <w:t xml:space="preserve"> </w:t>
      </w:r>
      <w:proofErr w:type="spellStart"/>
      <w:r w:rsidRPr="00D114C6">
        <w:rPr>
          <w:b/>
        </w:rPr>
        <w:t>ш</w:t>
      </w:r>
      <w:proofErr w:type="spellEnd"/>
      <w:r>
        <w:rPr>
          <w:b/>
        </w:rPr>
        <w:t xml:space="preserve"> </w:t>
      </w:r>
      <w:r w:rsidRPr="00D114C6">
        <w:rPr>
          <w:b/>
        </w:rPr>
        <w:t>и</w:t>
      </w:r>
      <w:r>
        <w:rPr>
          <w:b/>
        </w:rPr>
        <w:t xml:space="preserve"> </w:t>
      </w:r>
      <w:r w:rsidRPr="00D114C6">
        <w:rPr>
          <w:b/>
        </w:rPr>
        <w:t>л:</w:t>
      </w:r>
    </w:p>
    <w:p w:rsidR="00D114C6" w:rsidRDefault="00D114C6" w:rsidP="00D114C6">
      <w:pPr>
        <w:ind w:firstLine="709"/>
        <w:jc w:val="both"/>
      </w:pPr>
    </w:p>
    <w:p w:rsidR="00D114C6" w:rsidRPr="006324FC" w:rsidRDefault="00D114C6" w:rsidP="00D114C6">
      <w:pPr>
        <w:numPr>
          <w:ilvl w:val="0"/>
          <w:numId w:val="41"/>
        </w:numPr>
        <w:ind w:left="0" w:firstLine="709"/>
        <w:jc w:val="both"/>
      </w:pPr>
      <w:r>
        <w:t xml:space="preserve">Внести в местные нормативы градостроительного проектирования Грайворонского городского округа, утвержденные решением Совета депутатов Грайворонского городского округа от 5 декабря 2018 года № 59 </w:t>
      </w:r>
      <w:r w:rsidRPr="00D114C6">
        <w:rPr>
          <w:bCs/>
          <w:color w:val="212121"/>
        </w:rPr>
        <w:t>«</w:t>
      </w:r>
      <w:r w:rsidRPr="00D114C6">
        <w:t>Об утверждении местных нормативов градостроительного проектирования Грайворонского городского округа» (в редакции от 29 апреля 2021 года № 408)</w:t>
      </w:r>
      <w:r w:rsidR="009A2283">
        <w:t>,</w:t>
      </w:r>
      <w:r w:rsidRPr="00D114C6">
        <w:t xml:space="preserve"> </w:t>
      </w:r>
      <w:r>
        <w:t>следующие изменения</w:t>
      </w:r>
      <w:r w:rsidRPr="00D114C6">
        <w:t>:</w:t>
      </w:r>
      <w:r>
        <w:t xml:space="preserve"> </w:t>
      </w:r>
    </w:p>
    <w:p w:rsidR="00D114C6" w:rsidRDefault="00D114C6" w:rsidP="00D114C6">
      <w:pPr>
        <w:numPr>
          <w:ilvl w:val="0"/>
          <w:numId w:val="42"/>
        </w:numPr>
        <w:ind w:left="0" w:firstLine="709"/>
        <w:jc w:val="both"/>
      </w:pPr>
      <w:r>
        <w:t xml:space="preserve">абзац </w:t>
      </w:r>
      <w:r w:rsidR="00AB55D6">
        <w:t>второй</w:t>
      </w:r>
      <w:r>
        <w:t xml:space="preserve"> подраздела </w:t>
      </w:r>
      <w:r w:rsidR="004F4F02">
        <w:t>1</w:t>
      </w:r>
      <w:r w:rsidRPr="00D114C6">
        <w:t xml:space="preserve"> </w:t>
      </w:r>
      <w:r>
        <w:t xml:space="preserve">«Термины и определения» раздела </w:t>
      </w:r>
      <w:r w:rsidRPr="00D114C6">
        <w:t xml:space="preserve">                     </w:t>
      </w:r>
      <w:r>
        <w:rPr>
          <w:lang w:val="en-US"/>
        </w:rPr>
        <w:t>II</w:t>
      </w:r>
      <w:r w:rsidRPr="00D114C6">
        <w:t xml:space="preserve"> </w:t>
      </w:r>
      <w:r w:rsidR="00C72B0A">
        <w:t>«Основная часть</w:t>
      </w:r>
      <w:r w:rsidR="00AB55D6">
        <w:t>»</w:t>
      </w:r>
      <w:r>
        <w:t xml:space="preserve"> изложить в следующей редакции: </w:t>
      </w:r>
    </w:p>
    <w:p w:rsidR="00D114C6" w:rsidRDefault="00D114C6" w:rsidP="00D114C6">
      <w:pPr>
        <w:ind w:firstLine="709"/>
        <w:jc w:val="both"/>
      </w:pPr>
      <w:r w:rsidRPr="00D114C6">
        <w:t>«дом блокированной застройки</w:t>
      </w:r>
      <w:r w:rsidRPr="006324FC">
        <w:t xml:space="preserve"> – жилой дом, блокированной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>
        <w:t>;»</w:t>
      </w:r>
      <w:proofErr w:type="gramEnd"/>
      <w:r>
        <w:t>;</w:t>
      </w:r>
    </w:p>
    <w:p w:rsidR="00D114C6" w:rsidRDefault="004F4F02" w:rsidP="00D114C6">
      <w:pPr>
        <w:numPr>
          <w:ilvl w:val="0"/>
          <w:numId w:val="42"/>
        </w:numPr>
        <w:ind w:left="0" w:firstLine="709"/>
        <w:jc w:val="both"/>
      </w:pPr>
      <w:r>
        <w:t xml:space="preserve">в пункте 2.3 подраздела </w:t>
      </w:r>
      <w:r w:rsidR="00AB55D6">
        <w:t xml:space="preserve">2 </w:t>
      </w:r>
      <w:r w:rsidR="00AB55D6" w:rsidRPr="009B747A">
        <w:t>«</w:t>
      </w:r>
      <w:r w:rsidR="009B747A" w:rsidRPr="009B747A">
        <w:t>Расчетные показатели минимально допустимого уровня обеспеченности объектами местного значения городского округа, объектами благоустройства территории, иными объектами мест</w:t>
      </w:r>
      <w:r w:rsidR="009A2283">
        <w:t>ного значения городского округа</w:t>
      </w:r>
      <w:r w:rsidR="009B747A" w:rsidRPr="009B747A">
        <w:t xml:space="preserve"> и расчетные показатели максимально допустимого уровня территориальной доступнос</w:t>
      </w:r>
      <w:r w:rsidR="00C72B0A">
        <w:t>ти таких объектов для населения</w:t>
      </w:r>
      <w:r w:rsidR="00AB55D6" w:rsidRPr="009B747A">
        <w:t>»</w:t>
      </w:r>
      <w:r w:rsidRPr="009B747A">
        <w:t xml:space="preserve"> </w:t>
      </w:r>
      <w:r w:rsidR="00D114C6">
        <w:t>наименование расчетного показателя «Размер земельного участка, м2 на 1 место при вместимости организации</w:t>
      </w:r>
      <w:proofErr w:type="gramStart"/>
      <w:r w:rsidR="00D114C6">
        <w:t>:»</w:t>
      </w:r>
      <w:proofErr w:type="gramEnd"/>
      <w:r w:rsidR="00D114C6">
        <w:t xml:space="preserve"> объекта «Общеобразовательные школы» изложить в </w:t>
      </w:r>
      <w:r>
        <w:t xml:space="preserve">следующей </w:t>
      </w:r>
      <w:r w:rsidR="00D114C6">
        <w:t xml:space="preserve">редакции: </w:t>
      </w:r>
    </w:p>
    <w:p w:rsidR="00D114C6" w:rsidRDefault="00D114C6" w:rsidP="004F4F02">
      <w:pPr>
        <w:ind w:firstLine="709"/>
        <w:jc w:val="both"/>
      </w:pPr>
      <w:r>
        <w:t>«Размер земельного участка, м</w:t>
      </w:r>
      <w:proofErr w:type="gramStart"/>
      <w:r>
        <w:t>2</w:t>
      </w:r>
      <w:proofErr w:type="gramEnd"/>
      <w:r>
        <w:t>»</w:t>
      </w:r>
      <w:r w:rsidR="009B747A">
        <w:t>;</w:t>
      </w:r>
    </w:p>
    <w:p w:rsidR="00D114C6" w:rsidRDefault="009A2283" w:rsidP="004F4F02">
      <w:pPr>
        <w:numPr>
          <w:ilvl w:val="0"/>
          <w:numId w:val="42"/>
        </w:numPr>
        <w:ind w:left="0" w:firstLine="709"/>
        <w:jc w:val="both"/>
      </w:pPr>
      <w:r>
        <w:lastRenderedPageBreak/>
        <w:t>примечание к пункту 2.3</w:t>
      </w:r>
      <w:r w:rsidR="004F4F02">
        <w:t xml:space="preserve"> подраздела 2</w:t>
      </w:r>
      <w:r w:rsidR="00AB55D6">
        <w:t xml:space="preserve"> </w:t>
      </w:r>
      <w:r w:rsidR="009B747A" w:rsidRPr="009B747A">
        <w:t>«Расчетные показатели минимально допустимого уровня обеспеченности объектами местного значения городского округа, объектами благоустройства территории, иными объектами мест</w:t>
      </w:r>
      <w:r>
        <w:t>ного значения городского округа</w:t>
      </w:r>
      <w:r w:rsidR="009B747A" w:rsidRPr="009B747A">
        <w:t xml:space="preserve"> и расчетные показатели максимально допустимого уровня территориальной доступнос</w:t>
      </w:r>
      <w:r w:rsidR="00C72B0A">
        <w:t>ти таких объектов для населения</w:t>
      </w:r>
      <w:r w:rsidR="009B747A" w:rsidRPr="009B747A">
        <w:t>»</w:t>
      </w:r>
      <w:r w:rsidR="009B747A">
        <w:t xml:space="preserve"> </w:t>
      </w:r>
      <w:r w:rsidR="004F4F02">
        <w:t xml:space="preserve">раздела </w:t>
      </w:r>
      <w:r w:rsidR="004F4F02" w:rsidRPr="004F4F02">
        <w:rPr>
          <w:lang w:val="en-US"/>
        </w:rPr>
        <w:t>II</w:t>
      </w:r>
      <w:r w:rsidR="004F4F02">
        <w:t xml:space="preserve"> </w:t>
      </w:r>
      <w:r w:rsidR="00C72B0A">
        <w:t>«Основная часть</w:t>
      </w:r>
      <w:r w:rsidR="00AB55D6">
        <w:t xml:space="preserve">» </w:t>
      </w:r>
      <w:r w:rsidR="004F4F02">
        <w:t xml:space="preserve">дополнить подпунктом 4 следующего содержания: </w:t>
      </w:r>
    </w:p>
    <w:p w:rsidR="00D114C6" w:rsidRDefault="00D114C6" w:rsidP="004F4F02">
      <w:pPr>
        <w:ind w:firstLine="709"/>
        <w:jc w:val="both"/>
      </w:pPr>
      <w:r>
        <w:t>«</w:t>
      </w:r>
      <w:r w:rsidR="004F4F02">
        <w:t xml:space="preserve">4. </w:t>
      </w:r>
      <w:r>
        <w:t>Расчет размера земельного участка выполняется по формуле:</w:t>
      </w:r>
    </w:p>
    <w:p w:rsidR="00D114C6" w:rsidRPr="008C7E53" w:rsidRDefault="00D114C6" w:rsidP="00D114C6">
      <w:pPr>
        <w:rPr>
          <w:rFonts w:ascii="Calibri" w:hAnsi="Calibri"/>
          <w:i/>
        </w:rPr>
      </w:pPr>
      <w:r w:rsidRPr="00551D18">
        <w:t xml:space="preserve">   </w:t>
      </w:r>
      <w:r>
        <w:t xml:space="preserve"> </w:t>
      </w:r>
      <w:r w:rsidRPr="00466E8E">
        <w:rPr>
          <w:rFonts w:ascii="Cambria Math" w:hAnsi="Cambria Math"/>
          <w:sz w:val="24"/>
          <w:szCs w:val="24"/>
        </w:rPr>
        <w:br/>
      </w:r>
      <w: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норм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проект</m:t>
            </m:r>
          </m:sub>
        </m:sSub>
        <m:r>
          <w:rPr>
            <w:rFonts w:ascii="Cambria Math" w:hAnsi="Cambria Math"/>
            <w:sz w:val="24"/>
            <w:szCs w:val="24"/>
          </w:rPr>
          <m:t>×(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</m:t>
            </m:r>
          </m:sub>
        </m:sSub>
        <m:r>
          <w:rPr>
            <w:rFonts w:ascii="Cambria Math" w:hAnsi="Cambria Math"/>
            <w:sz w:val="24"/>
            <w:szCs w:val="24"/>
          </w:rPr>
          <m:t>-(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пл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пл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+1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кон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нач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проект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нач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)</m:t>
        </m:r>
      </m:oMath>
    </w:p>
    <w:p w:rsidR="00D114C6" w:rsidRDefault="00D114C6" w:rsidP="00D114C6">
      <w:pPr>
        <w:ind w:left="360"/>
        <w:jc w:val="both"/>
      </w:pPr>
      <w:r w:rsidRPr="00551D18">
        <w:rPr>
          <w:lang w:val="en-US"/>
        </w:rPr>
        <w:t>S</w:t>
      </w:r>
      <w:r>
        <w:rPr>
          <w:vertAlign w:val="subscript"/>
        </w:rPr>
        <w:t>норм</w:t>
      </w:r>
      <w:r>
        <w:t xml:space="preserve"> - </w:t>
      </w:r>
      <w:r w:rsidRPr="00551D18">
        <w:t>нормативная площадь</w:t>
      </w:r>
      <w:r>
        <w:t xml:space="preserve"> </w:t>
      </w:r>
      <w:r w:rsidRPr="00551D18">
        <w:t>земельного участка в зависимости от мощности школы, кв.м;</w:t>
      </w:r>
    </w:p>
    <w:p w:rsidR="00D114C6" w:rsidRDefault="00D114C6" w:rsidP="00D114C6">
      <w:pPr>
        <w:ind w:left="360"/>
        <w:jc w:val="both"/>
      </w:pPr>
      <w:r>
        <w:rPr>
          <w:lang w:val="en-US"/>
        </w:rPr>
        <w:t>N</w:t>
      </w:r>
      <w:proofErr w:type="spellStart"/>
      <w:r>
        <w:rPr>
          <w:vertAlign w:val="subscript"/>
        </w:rPr>
        <w:t>пл</w:t>
      </w:r>
      <w:proofErr w:type="spellEnd"/>
      <w:r>
        <w:rPr>
          <w:vertAlign w:val="subscript"/>
        </w:rPr>
        <w:t xml:space="preserve"> </w:t>
      </w:r>
      <w:r>
        <w:t>– норматив площади на 1 место соответствующий диапазону мощности школы, кв.м;</w:t>
      </w:r>
    </w:p>
    <w:p w:rsidR="00D114C6" w:rsidRDefault="00D114C6" w:rsidP="00D114C6">
      <w:pPr>
        <w:ind w:left="360"/>
        <w:jc w:val="both"/>
      </w:pPr>
      <w:r>
        <w:rPr>
          <w:lang w:val="en-US"/>
        </w:rPr>
        <w:t>N</w:t>
      </w:r>
      <w:r>
        <w:rPr>
          <w:vertAlign w:val="subscript"/>
        </w:rPr>
        <w:t>пл+1</w:t>
      </w:r>
      <w:r>
        <w:t xml:space="preserve"> – норматив площади на 1 место для следующего (большего) диапазона мощности школы, кв.м;</w:t>
      </w:r>
    </w:p>
    <w:p w:rsidR="00D114C6" w:rsidRDefault="00D114C6" w:rsidP="00D114C6">
      <w:pPr>
        <w:ind w:left="360"/>
        <w:jc w:val="both"/>
      </w:pPr>
      <w:r>
        <w:rPr>
          <w:lang w:val="en-US"/>
        </w:rPr>
        <w:t>D</w:t>
      </w:r>
      <w:r>
        <w:rPr>
          <w:vertAlign w:val="subscript"/>
        </w:rPr>
        <w:t>кон</w:t>
      </w:r>
      <w:r>
        <w:t xml:space="preserve"> – конечное значение диапазона мощности школы, мест;</w:t>
      </w:r>
    </w:p>
    <w:p w:rsidR="00D114C6" w:rsidRDefault="00D114C6" w:rsidP="00D114C6">
      <w:pPr>
        <w:ind w:left="360"/>
        <w:jc w:val="both"/>
      </w:pPr>
      <w:r>
        <w:rPr>
          <w:lang w:val="en-US"/>
        </w:rPr>
        <w:t>D</w:t>
      </w:r>
      <w:proofErr w:type="spellStart"/>
      <w:r>
        <w:rPr>
          <w:vertAlign w:val="subscript"/>
        </w:rPr>
        <w:t>нач</w:t>
      </w:r>
      <w:proofErr w:type="spellEnd"/>
      <w:r>
        <w:t xml:space="preserve"> – начальное значение диапазона мощности школы, мест;</w:t>
      </w:r>
    </w:p>
    <w:p w:rsidR="00D114C6" w:rsidRDefault="00D114C6" w:rsidP="00D114C6">
      <w:pPr>
        <w:ind w:left="360"/>
        <w:jc w:val="both"/>
      </w:pPr>
      <w:r>
        <w:rPr>
          <w:lang w:val="en-US"/>
        </w:rPr>
        <w:t>D</w:t>
      </w:r>
      <w:r>
        <w:rPr>
          <w:vertAlign w:val="subscript"/>
        </w:rPr>
        <w:t>проект</w:t>
      </w:r>
      <w:r>
        <w:t xml:space="preserve"> – проектная мощность школы, мест</w:t>
      </w:r>
      <w:proofErr w:type="gramStart"/>
      <w:r>
        <w:t>.»</w:t>
      </w:r>
      <w:proofErr w:type="gramEnd"/>
      <w:r>
        <w:t>;</w:t>
      </w:r>
    </w:p>
    <w:p w:rsidR="004F4F02" w:rsidRDefault="004F4F02" w:rsidP="004F4F02">
      <w:pPr>
        <w:ind w:firstLine="709"/>
        <w:jc w:val="both"/>
      </w:pPr>
    </w:p>
    <w:p w:rsidR="004F4F02" w:rsidRPr="004F4F02" w:rsidRDefault="004F4F02" w:rsidP="004F4F02">
      <w:pPr>
        <w:ind w:firstLine="709"/>
        <w:jc w:val="both"/>
      </w:pPr>
      <w:r>
        <w:t>4) в Перечне</w:t>
      </w:r>
      <w:r w:rsidRPr="004F4F02">
        <w:t xml:space="preserve"> </w:t>
      </w:r>
      <w:r>
        <w:t xml:space="preserve">нормативных актов Белгородской области раздела </w:t>
      </w:r>
      <w:r w:rsidR="009B747A">
        <w:t xml:space="preserve">                      </w:t>
      </w:r>
      <w:r>
        <w:rPr>
          <w:lang w:val="en-US"/>
        </w:rPr>
        <w:t>IV</w:t>
      </w:r>
      <w:r>
        <w:t xml:space="preserve"> </w:t>
      </w:r>
      <w:r w:rsidR="009B747A">
        <w:t>«Материалы по обоснованию</w:t>
      </w:r>
      <w:r>
        <w:t xml:space="preserve"> расчетных показателей, содержащихся в основной части местных нормативов градостроительного проектирования</w:t>
      </w:r>
      <w:r w:rsidR="009B747A">
        <w:t>»:</w:t>
      </w:r>
    </w:p>
    <w:p w:rsidR="00D114C6" w:rsidRDefault="00D114C6" w:rsidP="004F4F02">
      <w:pPr>
        <w:ind w:firstLine="709"/>
        <w:jc w:val="both"/>
      </w:pPr>
      <w:r>
        <w:t xml:space="preserve">- абзац 4 изложить в </w:t>
      </w:r>
      <w:r w:rsidR="004F4F02">
        <w:t>следующей</w:t>
      </w:r>
      <w:r>
        <w:t xml:space="preserve"> редакции «</w:t>
      </w:r>
      <w:r w:rsidRPr="008D3C4B">
        <w:t>По</w:t>
      </w:r>
      <w:r w:rsidRPr="008D3C4B">
        <w:rPr>
          <w:spacing w:val="-1"/>
        </w:rPr>
        <w:t>с</w:t>
      </w:r>
      <w:r w:rsidRPr="008D3C4B">
        <w:t>та</w:t>
      </w:r>
      <w:r w:rsidRPr="008D3C4B">
        <w:rPr>
          <w:spacing w:val="1"/>
        </w:rPr>
        <w:t>н</w:t>
      </w:r>
      <w:r w:rsidRPr="008D3C4B">
        <w:t>овл</w:t>
      </w:r>
      <w:r w:rsidRPr="008D3C4B">
        <w:rPr>
          <w:spacing w:val="-1"/>
        </w:rPr>
        <w:t>е</w:t>
      </w:r>
      <w:r w:rsidRPr="008D3C4B">
        <w:rPr>
          <w:spacing w:val="1"/>
        </w:rPr>
        <w:t>ни</w:t>
      </w:r>
      <w:r w:rsidRPr="008D3C4B">
        <w:t>е Пр</w:t>
      </w:r>
      <w:r w:rsidRPr="008D3C4B">
        <w:rPr>
          <w:spacing w:val="-1"/>
        </w:rPr>
        <w:t>а</w:t>
      </w:r>
      <w:r w:rsidRPr="008D3C4B">
        <w:t>вител</w:t>
      </w:r>
      <w:r w:rsidRPr="008D3C4B">
        <w:rPr>
          <w:spacing w:val="1"/>
        </w:rPr>
        <w:t>ь</w:t>
      </w:r>
      <w:r w:rsidRPr="008D3C4B">
        <w:rPr>
          <w:spacing w:val="-1"/>
        </w:rPr>
        <w:t>с</w:t>
      </w:r>
      <w:r w:rsidRPr="008D3C4B">
        <w:t>тва</w:t>
      </w:r>
      <w:r>
        <w:t xml:space="preserve"> </w:t>
      </w:r>
      <w:r w:rsidRPr="008D3C4B">
        <w:rPr>
          <w:spacing w:val="-1"/>
        </w:rPr>
        <w:t>Бе</w:t>
      </w:r>
      <w:r w:rsidRPr="008D3C4B">
        <w:t>лгородской</w:t>
      </w:r>
      <w:r>
        <w:t xml:space="preserve"> </w:t>
      </w:r>
      <w:r w:rsidRPr="008D3C4B">
        <w:t>обла</w:t>
      </w:r>
      <w:r w:rsidRPr="008D3C4B">
        <w:rPr>
          <w:spacing w:val="-1"/>
        </w:rPr>
        <w:t>с</w:t>
      </w:r>
      <w:r w:rsidRPr="008D3C4B">
        <w:t>ти</w:t>
      </w:r>
      <w:r>
        <w:t xml:space="preserve"> </w:t>
      </w:r>
      <w:r w:rsidRPr="008D3C4B">
        <w:t>от 25.04.2016 г. №</w:t>
      </w:r>
      <w:r w:rsidR="004F4F02">
        <w:t xml:space="preserve"> </w:t>
      </w:r>
      <w:r w:rsidRPr="008D3C4B">
        <w:t>100-</w:t>
      </w:r>
      <w:r>
        <w:t>пп</w:t>
      </w:r>
      <w:r w:rsidRPr="008D3C4B">
        <w:t xml:space="preserve"> «Об утверждении региональных нормативов градостроительного проектирования Белгородской области</w:t>
      </w:r>
      <w:r>
        <w:t>»;</w:t>
      </w:r>
    </w:p>
    <w:p w:rsidR="004F4F02" w:rsidRDefault="00D114C6" w:rsidP="004F4F02">
      <w:pPr>
        <w:ind w:firstLine="709"/>
        <w:jc w:val="both"/>
        <w:rPr>
          <w:rFonts w:eastAsia="Calibri"/>
          <w:lang w:eastAsia="en-US"/>
        </w:rPr>
      </w:pPr>
      <w:r>
        <w:t xml:space="preserve">- абзац 5 </w:t>
      </w:r>
      <w:r w:rsidR="004F4F02">
        <w:t>изложить</w:t>
      </w:r>
      <w:r>
        <w:t xml:space="preserve"> в </w:t>
      </w:r>
      <w:r w:rsidR="004F4F02">
        <w:t>следующей</w:t>
      </w:r>
      <w:r>
        <w:t xml:space="preserve"> редакции «</w:t>
      </w:r>
      <w:r>
        <w:rPr>
          <w:rFonts w:eastAsia="Calibri"/>
          <w:lang w:eastAsia="en-US"/>
        </w:rPr>
        <w:t>Постановление</w:t>
      </w:r>
      <w:r w:rsidR="004F4F02">
        <w:rPr>
          <w:rFonts w:eastAsia="Calibri"/>
          <w:lang w:eastAsia="en-US"/>
        </w:rPr>
        <w:t xml:space="preserve"> Правительства Белгородской области</w:t>
      </w:r>
      <w:r>
        <w:rPr>
          <w:rFonts w:eastAsia="Calibri"/>
          <w:lang w:eastAsia="en-US"/>
        </w:rPr>
        <w:t xml:space="preserve"> от 04.04.2022</w:t>
      </w:r>
      <w:r w:rsidR="009B747A">
        <w:rPr>
          <w:rFonts w:eastAsia="Calibri"/>
          <w:lang w:eastAsia="en-US"/>
        </w:rPr>
        <w:t xml:space="preserve"> г.</w:t>
      </w:r>
      <w:r>
        <w:rPr>
          <w:rFonts w:eastAsia="Calibri"/>
          <w:lang w:eastAsia="en-US"/>
        </w:rPr>
        <w:t xml:space="preserve"> </w:t>
      </w:r>
      <w:r w:rsidR="004F4F02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183-пп</w:t>
      </w:r>
      <w:r w:rsidR="004F4F02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Об утверждении Правил охраны жизни людей на водных объектах в Белгородской области и Правил пользования водными объектами для плавания на маломерн</w:t>
      </w:r>
      <w:r w:rsidR="004F4F02">
        <w:rPr>
          <w:rFonts w:eastAsia="Calibri"/>
          <w:lang w:eastAsia="en-US"/>
        </w:rPr>
        <w:t>ых судах в Белгородской области»;</w:t>
      </w:r>
    </w:p>
    <w:p w:rsidR="00D114C6" w:rsidRDefault="004F4F02" w:rsidP="004F4F02">
      <w:pPr>
        <w:ind w:firstLine="709"/>
        <w:jc w:val="both"/>
      </w:pPr>
      <w:r>
        <w:t>- абзац 6</w:t>
      </w:r>
      <w:r w:rsidR="00D114C6">
        <w:t xml:space="preserve"> изложить в </w:t>
      </w:r>
      <w:r>
        <w:t>следующей</w:t>
      </w:r>
      <w:r w:rsidR="00D114C6">
        <w:t xml:space="preserve"> редакции «</w:t>
      </w:r>
      <w:r w:rsidR="00D114C6" w:rsidRPr="006B5567">
        <w:t>По</w:t>
      </w:r>
      <w:r w:rsidR="00D114C6" w:rsidRPr="006B5567">
        <w:rPr>
          <w:spacing w:val="-1"/>
        </w:rPr>
        <w:t>с</w:t>
      </w:r>
      <w:r w:rsidR="00D114C6" w:rsidRPr="006B5567">
        <w:t>та</w:t>
      </w:r>
      <w:r w:rsidR="00D114C6" w:rsidRPr="006B5567">
        <w:rPr>
          <w:spacing w:val="1"/>
        </w:rPr>
        <w:t>н</w:t>
      </w:r>
      <w:r w:rsidR="00D114C6" w:rsidRPr="006B5567">
        <w:t>овл</w:t>
      </w:r>
      <w:r w:rsidR="00D114C6" w:rsidRPr="006B5567">
        <w:rPr>
          <w:spacing w:val="-1"/>
        </w:rPr>
        <w:t>е</w:t>
      </w:r>
      <w:r w:rsidR="00D114C6" w:rsidRPr="006B5567">
        <w:rPr>
          <w:spacing w:val="1"/>
        </w:rPr>
        <w:t>ни</w:t>
      </w:r>
      <w:r w:rsidR="00D114C6" w:rsidRPr="006B5567">
        <w:t>е Пр</w:t>
      </w:r>
      <w:r w:rsidR="00D114C6" w:rsidRPr="006B5567">
        <w:rPr>
          <w:spacing w:val="-1"/>
        </w:rPr>
        <w:t>а</w:t>
      </w:r>
      <w:r w:rsidR="00D114C6" w:rsidRPr="006B5567">
        <w:t>вител</w:t>
      </w:r>
      <w:r w:rsidR="00D114C6" w:rsidRPr="006B5567">
        <w:rPr>
          <w:spacing w:val="1"/>
        </w:rPr>
        <w:t>ь</w:t>
      </w:r>
      <w:r w:rsidR="00D114C6" w:rsidRPr="006B5567">
        <w:rPr>
          <w:spacing w:val="-1"/>
        </w:rPr>
        <w:t>с</w:t>
      </w:r>
      <w:r w:rsidR="00D114C6" w:rsidRPr="006B5567">
        <w:t xml:space="preserve">тва </w:t>
      </w:r>
      <w:r w:rsidR="00D114C6" w:rsidRPr="006B5567">
        <w:rPr>
          <w:spacing w:val="-1"/>
        </w:rPr>
        <w:t>Бе</w:t>
      </w:r>
      <w:r w:rsidR="00D114C6" w:rsidRPr="006B5567">
        <w:t>лгородской обла</w:t>
      </w:r>
      <w:r w:rsidR="00D114C6" w:rsidRPr="006B5567">
        <w:rPr>
          <w:spacing w:val="-1"/>
        </w:rPr>
        <w:t>с</w:t>
      </w:r>
      <w:r w:rsidR="00D114C6" w:rsidRPr="006B5567">
        <w:t>ти от 30.12.20</w:t>
      </w:r>
      <w:r w:rsidR="00D114C6" w:rsidRPr="006B5567">
        <w:rPr>
          <w:spacing w:val="-2"/>
        </w:rPr>
        <w:t>1</w:t>
      </w:r>
      <w:r w:rsidR="00D114C6" w:rsidRPr="006B5567">
        <w:t xml:space="preserve">3 </w:t>
      </w:r>
      <w:r w:rsidR="009B747A">
        <w:t xml:space="preserve">г. </w:t>
      </w:r>
      <w:r w:rsidR="00D114C6" w:rsidRPr="006B5567">
        <w:t>№ 52</w:t>
      </w:r>
      <w:r w:rsidR="00D114C6" w:rsidRPr="006B5567">
        <w:rPr>
          <w:spacing w:val="5"/>
        </w:rPr>
        <w:t>8</w:t>
      </w:r>
      <w:r w:rsidR="00D114C6" w:rsidRPr="006B5567">
        <w:rPr>
          <w:spacing w:val="-1"/>
        </w:rPr>
        <w:t>-</w:t>
      </w:r>
      <w:r w:rsidR="00D114C6" w:rsidRPr="006B5567">
        <w:rPr>
          <w:spacing w:val="1"/>
        </w:rPr>
        <w:t>п</w:t>
      </w:r>
      <w:r w:rsidR="00D114C6" w:rsidRPr="006B5567">
        <w:t xml:space="preserve">п </w:t>
      </w:r>
      <w:r w:rsidR="00D114C6" w:rsidRPr="006B5567">
        <w:rPr>
          <w:spacing w:val="-7"/>
        </w:rPr>
        <w:t>«</w:t>
      </w:r>
      <w:r w:rsidR="00D114C6" w:rsidRPr="006B5567">
        <w:t xml:space="preserve">Об </w:t>
      </w:r>
      <w:r w:rsidR="00D114C6" w:rsidRPr="006B5567">
        <w:rPr>
          <w:spacing w:val="-5"/>
        </w:rPr>
        <w:t>у</w:t>
      </w:r>
      <w:r w:rsidR="00D114C6" w:rsidRPr="006B5567">
        <w:rPr>
          <w:spacing w:val="3"/>
        </w:rPr>
        <w:t>т</w:t>
      </w:r>
      <w:r w:rsidR="00D114C6" w:rsidRPr="006B5567">
        <w:t>в</w:t>
      </w:r>
      <w:r w:rsidR="00D114C6" w:rsidRPr="006B5567">
        <w:rPr>
          <w:spacing w:val="-1"/>
        </w:rPr>
        <w:t>е</w:t>
      </w:r>
      <w:r w:rsidR="00D114C6" w:rsidRPr="006B5567">
        <w:t>рж</w:t>
      </w:r>
      <w:r w:rsidR="00D114C6" w:rsidRPr="006B5567">
        <w:rPr>
          <w:spacing w:val="2"/>
        </w:rPr>
        <w:t>д</w:t>
      </w:r>
      <w:r w:rsidR="00D114C6" w:rsidRPr="006B5567">
        <w:rPr>
          <w:spacing w:val="-1"/>
        </w:rPr>
        <w:t>е</w:t>
      </w:r>
      <w:r w:rsidR="00D114C6" w:rsidRPr="006B5567">
        <w:rPr>
          <w:spacing w:val="1"/>
        </w:rPr>
        <w:t>ни</w:t>
      </w:r>
      <w:r w:rsidR="00D114C6" w:rsidRPr="006B5567">
        <w:t>и го</w:t>
      </w:r>
      <w:r w:rsidR="00D114C6" w:rsidRPr="006B5567">
        <w:rPr>
          <w:spacing w:val="1"/>
        </w:rPr>
        <w:t>с</w:t>
      </w:r>
      <w:r w:rsidR="00D114C6" w:rsidRPr="006B5567">
        <w:rPr>
          <w:spacing w:val="-7"/>
        </w:rPr>
        <w:t>у</w:t>
      </w:r>
      <w:r w:rsidR="00D114C6" w:rsidRPr="006B5567">
        <w:rPr>
          <w:spacing w:val="2"/>
        </w:rPr>
        <w:t>д</w:t>
      </w:r>
      <w:r w:rsidR="00D114C6" w:rsidRPr="006B5567">
        <w:rPr>
          <w:spacing w:val="-1"/>
        </w:rPr>
        <w:t>а</w:t>
      </w:r>
      <w:r w:rsidR="00D114C6" w:rsidRPr="006B5567">
        <w:t>р</w:t>
      </w:r>
      <w:r w:rsidR="00D114C6" w:rsidRPr="006B5567">
        <w:rPr>
          <w:spacing w:val="1"/>
        </w:rPr>
        <w:t>с</w:t>
      </w:r>
      <w:r w:rsidR="00D114C6" w:rsidRPr="006B5567">
        <w:t>тв</w:t>
      </w:r>
      <w:r w:rsidR="00D114C6" w:rsidRPr="006B5567">
        <w:rPr>
          <w:spacing w:val="-1"/>
        </w:rPr>
        <w:t>е</w:t>
      </w:r>
      <w:r w:rsidR="00D114C6" w:rsidRPr="006B5567">
        <w:rPr>
          <w:spacing w:val="1"/>
        </w:rPr>
        <w:t>нн</w:t>
      </w:r>
      <w:r w:rsidR="00D114C6" w:rsidRPr="006B5567">
        <w:t xml:space="preserve">ой </w:t>
      </w:r>
      <w:r w:rsidR="00D114C6" w:rsidRPr="006B5567">
        <w:rPr>
          <w:spacing w:val="1"/>
        </w:rPr>
        <w:t>п</w:t>
      </w:r>
      <w:r w:rsidR="00D114C6" w:rsidRPr="006B5567">
        <w:t>рогр</w:t>
      </w:r>
      <w:r w:rsidR="00D114C6" w:rsidRPr="006B5567">
        <w:rPr>
          <w:spacing w:val="-1"/>
        </w:rPr>
        <w:t>амм</w:t>
      </w:r>
      <w:r w:rsidR="00D114C6" w:rsidRPr="006B5567">
        <w:t xml:space="preserve">ы </w:t>
      </w:r>
      <w:r w:rsidR="00D114C6" w:rsidRPr="006B5567">
        <w:rPr>
          <w:spacing w:val="-1"/>
        </w:rPr>
        <w:t>Бе</w:t>
      </w:r>
      <w:r w:rsidR="00D114C6" w:rsidRPr="006B5567">
        <w:t>лг</w:t>
      </w:r>
      <w:r w:rsidR="00D114C6" w:rsidRPr="006B5567">
        <w:rPr>
          <w:spacing w:val="5"/>
        </w:rPr>
        <w:t>о</w:t>
      </w:r>
      <w:r w:rsidR="00D114C6" w:rsidRPr="006B5567">
        <w:t>род</w:t>
      </w:r>
      <w:r w:rsidR="00D114C6" w:rsidRPr="006B5567">
        <w:rPr>
          <w:spacing w:val="-1"/>
        </w:rPr>
        <w:t>с</w:t>
      </w:r>
      <w:r w:rsidR="00D114C6" w:rsidRPr="006B5567">
        <w:rPr>
          <w:spacing w:val="1"/>
        </w:rPr>
        <w:t>к</w:t>
      </w:r>
      <w:r w:rsidR="00D114C6" w:rsidRPr="006B5567">
        <w:t>ой обла</w:t>
      </w:r>
      <w:r w:rsidR="00D114C6" w:rsidRPr="006B5567">
        <w:rPr>
          <w:spacing w:val="-1"/>
        </w:rPr>
        <w:t>с</w:t>
      </w:r>
      <w:r w:rsidR="00D114C6" w:rsidRPr="006B5567">
        <w:t xml:space="preserve">ти </w:t>
      </w:r>
      <w:r w:rsidR="00D114C6" w:rsidRPr="006B5567">
        <w:rPr>
          <w:spacing w:val="-5"/>
        </w:rPr>
        <w:t>«</w:t>
      </w:r>
      <w:r w:rsidR="00D114C6" w:rsidRPr="006B5567">
        <w:rPr>
          <w:spacing w:val="3"/>
        </w:rPr>
        <w:t>Р</w:t>
      </w:r>
      <w:r w:rsidR="00D114C6" w:rsidRPr="006B5567">
        <w:rPr>
          <w:spacing w:val="-1"/>
        </w:rPr>
        <w:t>а</w:t>
      </w:r>
      <w:r w:rsidR="00D114C6" w:rsidRPr="006B5567">
        <w:rPr>
          <w:spacing w:val="1"/>
        </w:rPr>
        <w:t>з</w:t>
      </w:r>
      <w:r w:rsidR="00D114C6" w:rsidRPr="006B5567">
        <w:t>вит</w:t>
      </w:r>
      <w:r w:rsidR="00D114C6" w:rsidRPr="006B5567">
        <w:rPr>
          <w:spacing w:val="2"/>
        </w:rPr>
        <w:t>и</w:t>
      </w:r>
      <w:r w:rsidR="00D114C6" w:rsidRPr="006B5567">
        <w:t>е обр</w:t>
      </w:r>
      <w:r w:rsidR="00D114C6" w:rsidRPr="006B5567">
        <w:rPr>
          <w:spacing w:val="-1"/>
        </w:rPr>
        <w:t>а</w:t>
      </w:r>
      <w:r w:rsidR="00D114C6" w:rsidRPr="006B5567">
        <w:rPr>
          <w:spacing w:val="1"/>
        </w:rPr>
        <w:t>з</w:t>
      </w:r>
      <w:r w:rsidR="00D114C6" w:rsidRPr="006B5567">
        <w:t>ов</w:t>
      </w:r>
      <w:r w:rsidR="00D114C6" w:rsidRPr="006B5567">
        <w:rPr>
          <w:spacing w:val="-1"/>
        </w:rPr>
        <w:t>а</w:t>
      </w:r>
      <w:r w:rsidR="00D114C6" w:rsidRPr="006B5567">
        <w:rPr>
          <w:spacing w:val="1"/>
        </w:rPr>
        <w:t>н</w:t>
      </w:r>
      <w:r w:rsidR="00D114C6" w:rsidRPr="006B5567">
        <w:rPr>
          <w:spacing w:val="-1"/>
        </w:rPr>
        <w:t>и</w:t>
      </w:r>
      <w:r w:rsidR="00D114C6" w:rsidRPr="006B5567">
        <w:t xml:space="preserve">я </w:t>
      </w:r>
      <w:r w:rsidR="00D114C6" w:rsidRPr="006B5567">
        <w:rPr>
          <w:spacing w:val="-1"/>
        </w:rPr>
        <w:t>Бе</w:t>
      </w:r>
      <w:r w:rsidR="00D114C6" w:rsidRPr="006B5567">
        <w:t>лгородской обла</w:t>
      </w:r>
      <w:r w:rsidR="00D114C6" w:rsidRPr="006B5567">
        <w:rPr>
          <w:spacing w:val="-1"/>
        </w:rPr>
        <w:t>с</w:t>
      </w:r>
      <w:r w:rsidR="00D114C6" w:rsidRPr="006B5567">
        <w:t>ти</w:t>
      </w:r>
      <w:r w:rsidR="00D114C6" w:rsidRPr="006B5567">
        <w:rPr>
          <w:spacing w:val="-7"/>
        </w:rPr>
        <w:t>»</w:t>
      </w:r>
      <w:r w:rsidR="00D114C6" w:rsidRPr="006B5567">
        <w:t>;</w:t>
      </w:r>
    </w:p>
    <w:p w:rsidR="00D114C6" w:rsidRDefault="009A2283" w:rsidP="002C512A">
      <w:pPr>
        <w:ind w:firstLine="709"/>
        <w:jc w:val="both"/>
      </w:pPr>
      <w:r>
        <w:t xml:space="preserve">5) </w:t>
      </w:r>
      <w:r w:rsidR="004F4F02">
        <w:t>Свод</w:t>
      </w:r>
      <w:r w:rsidR="00D114C6">
        <w:t xml:space="preserve"> правил по</w:t>
      </w:r>
      <w:r>
        <w:t xml:space="preserve"> проектированию и строительству</w:t>
      </w:r>
      <w:r w:rsidR="002C512A" w:rsidRPr="002C512A">
        <w:t xml:space="preserve"> </w:t>
      </w:r>
      <w:r w:rsidR="002C512A">
        <w:t xml:space="preserve">раздела </w:t>
      </w:r>
      <w:r w:rsidR="009B747A">
        <w:t xml:space="preserve">                     </w:t>
      </w:r>
      <w:r w:rsidR="002C512A">
        <w:rPr>
          <w:lang w:val="en-US"/>
        </w:rPr>
        <w:t>IV</w:t>
      </w:r>
      <w:r w:rsidR="002C512A">
        <w:t xml:space="preserve"> </w:t>
      </w:r>
      <w:r w:rsidR="009B747A">
        <w:t>«</w:t>
      </w:r>
      <w:r w:rsidR="002C512A">
        <w:t>Материалы по обосновани</w:t>
      </w:r>
      <w:r w:rsidR="009B747A">
        <w:t>ю</w:t>
      </w:r>
      <w:r w:rsidR="002C512A">
        <w:t xml:space="preserve"> расчетных показателей, содержащихся в основной части местных нормативов градостроительного проектирования</w:t>
      </w:r>
      <w:r w:rsidR="009B747A">
        <w:t>»</w:t>
      </w:r>
      <w:r w:rsidR="00D114C6">
        <w:t xml:space="preserve"> изложить в </w:t>
      </w:r>
      <w:r w:rsidR="002C512A">
        <w:t>следующей</w:t>
      </w:r>
      <w:r w:rsidR="00D114C6">
        <w:t xml:space="preserve"> редакции:</w:t>
      </w:r>
    </w:p>
    <w:p w:rsidR="00D114C6" w:rsidRPr="003105D8" w:rsidRDefault="002C512A" w:rsidP="002C512A">
      <w:pPr>
        <w:tabs>
          <w:tab w:val="left" w:pos="12758"/>
        </w:tabs>
        <w:spacing w:before="60"/>
        <w:ind w:right="-43" w:firstLine="709"/>
        <w:jc w:val="both"/>
      </w:pPr>
      <w:r>
        <w:t>«</w:t>
      </w:r>
      <w:r w:rsidR="00D114C6" w:rsidRPr="003105D8">
        <w:t>СП42.13330.2016 «СНиП</w:t>
      </w:r>
      <w:proofErr w:type="gramStart"/>
      <w:r w:rsidR="00D114C6" w:rsidRPr="003105D8">
        <w:t>2</w:t>
      </w:r>
      <w:proofErr w:type="gramEnd"/>
      <w:r w:rsidR="00D114C6" w:rsidRPr="003105D8">
        <w:t>.07.01-89* «Градостроительство. Планировка и застройка городских и сельских поселений»;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 xml:space="preserve">СП 88.13330.2014. Свод правил. «Защитные сооружения гражданской обороны. Актуализированная редакция </w:t>
      </w:r>
      <w:proofErr w:type="spellStart"/>
      <w:r w:rsidRPr="003105D8">
        <w:t>СНиП</w:t>
      </w:r>
      <w:proofErr w:type="spellEnd"/>
      <w:r w:rsidRPr="003105D8">
        <w:t xml:space="preserve"> 42-01-2002»;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lastRenderedPageBreak/>
        <w:t>СП 18.13330.2011  «</w:t>
      </w:r>
      <w:proofErr w:type="spellStart"/>
      <w:r w:rsidRPr="003105D8">
        <w:t>СНиП</w:t>
      </w:r>
      <w:proofErr w:type="spellEnd"/>
      <w:r w:rsidRPr="003105D8">
        <w:t xml:space="preserve"> II-89-80*  «Генеральные  планы  промышленных предприятий»;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19.13330.2011 «</w:t>
      </w:r>
      <w:proofErr w:type="spellStart"/>
      <w:r w:rsidRPr="003105D8">
        <w:t>СНиП</w:t>
      </w:r>
      <w:proofErr w:type="spellEnd"/>
      <w:r w:rsidRPr="003105D8">
        <w:t xml:space="preserve"> II-97-76* «Генеральные планы сельскохозяйственных предприятий»;</w:t>
      </w:r>
    </w:p>
    <w:p w:rsidR="00D114C6" w:rsidRPr="003105D8" w:rsidRDefault="00D114C6" w:rsidP="002C512A">
      <w:pPr>
        <w:ind w:firstLine="709"/>
      </w:pPr>
      <w:r w:rsidRPr="003105D8">
        <w:t xml:space="preserve">СП 34.13330.2021. «Свод правил. Автомобильные дороги. Актуализированная редакция </w:t>
      </w:r>
      <w:proofErr w:type="spellStart"/>
      <w:r w:rsidRPr="003105D8">
        <w:t>СНиП</w:t>
      </w:r>
      <w:proofErr w:type="spellEnd"/>
      <w:r w:rsidRPr="003105D8">
        <w:t xml:space="preserve"> 2.05.02-85»</w:t>
      </w:r>
      <w:r w:rsidR="00C72B0A">
        <w:t>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31.13330.2012 «</w:t>
      </w:r>
      <w:proofErr w:type="spellStart"/>
      <w:r w:rsidR="00671A7F">
        <w:fldChar w:fldCharType="begin"/>
      </w:r>
      <w:r w:rsidR="00671A7F">
        <w:instrText>HYPERLINK "consultantplus://offline/ref%3DB55CB70B8807CE15F8F84F8321428183E70A952355926F9978D079F8jDB" \h</w:instrText>
      </w:r>
      <w:r w:rsidR="00671A7F">
        <w:fldChar w:fldCharType="separate"/>
      </w:r>
      <w:r w:rsidRPr="003105D8">
        <w:t>СНиП</w:t>
      </w:r>
      <w:proofErr w:type="spellEnd"/>
      <w:r w:rsidRPr="003105D8">
        <w:t xml:space="preserve"> 2.04.02-84* </w:t>
      </w:r>
      <w:r w:rsidR="00671A7F">
        <w:fldChar w:fldCharType="end"/>
      </w:r>
      <w:r w:rsidRPr="003105D8">
        <w:t>«Водоснабжение. Наружные сети и сооружения»;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 xml:space="preserve"> СП 32.13330.2012 «</w:t>
      </w:r>
      <w:proofErr w:type="spellStart"/>
      <w:r w:rsidR="00671A7F">
        <w:fldChar w:fldCharType="begin"/>
      </w:r>
      <w:r w:rsidR="00671A7F">
        <w:instrText>HYPERLINK "consultantplus://offline/ref%3D422BF3913A03A3FF4DDD1D7F5E11E341BF360C6AB4A0655EFBCD16kEB" \h</w:instrText>
      </w:r>
      <w:r w:rsidR="00671A7F">
        <w:fldChar w:fldCharType="separate"/>
      </w:r>
      <w:r w:rsidRPr="003105D8">
        <w:t>СНиП</w:t>
      </w:r>
      <w:proofErr w:type="spellEnd"/>
      <w:r w:rsidRPr="003105D8">
        <w:t xml:space="preserve"> 2.04.03-85</w:t>
      </w:r>
      <w:r w:rsidR="00671A7F">
        <w:fldChar w:fldCharType="end"/>
      </w:r>
      <w:r w:rsidRPr="003105D8">
        <w:t>«Канализация, наружные сети и сооружения»;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50.13330.2012 «</w:t>
      </w:r>
      <w:proofErr w:type="spellStart"/>
      <w:r w:rsidRPr="003105D8">
        <w:t>СНиП</w:t>
      </w:r>
      <w:proofErr w:type="spellEnd"/>
      <w:r w:rsidRPr="003105D8">
        <w:t xml:space="preserve"> 23-02-2003 «Тепловая защита зданий»;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30.13330.2020 «</w:t>
      </w:r>
      <w:proofErr w:type="spellStart"/>
      <w:r w:rsidRPr="003105D8">
        <w:t>СНиП</w:t>
      </w:r>
      <w:proofErr w:type="spellEnd"/>
      <w:r w:rsidRPr="003105D8">
        <w:t xml:space="preserve"> 2.04.01-85* «Внутренний водопровод и канализация зданий»;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 xml:space="preserve"> СП36.13330.2012 «</w:t>
      </w:r>
      <w:proofErr w:type="spellStart"/>
      <w:r w:rsidRPr="003105D8">
        <w:t>СНиП</w:t>
      </w:r>
      <w:proofErr w:type="spellEnd"/>
      <w:r w:rsidRPr="003105D8">
        <w:t xml:space="preserve"> 2.05.06-85*«Магистральные трубопроводы. Актуализированная редакция»;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62.13330.2011 «</w:t>
      </w:r>
      <w:proofErr w:type="spellStart"/>
      <w:r w:rsidRPr="003105D8">
        <w:t>СНиП</w:t>
      </w:r>
      <w:proofErr w:type="spellEnd"/>
      <w:r w:rsidRPr="003105D8">
        <w:t xml:space="preserve"> 42-01-2002 «Газораспределительные системы»;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40.13330.2012 «</w:t>
      </w:r>
      <w:proofErr w:type="spellStart"/>
      <w:r w:rsidRPr="003105D8">
        <w:t>СНиП</w:t>
      </w:r>
      <w:proofErr w:type="spellEnd"/>
      <w:r w:rsidRPr="003105D8">
        <w:t xml:space="preserve"> 2.06.06-85 «Плотины бетонные и железобетонные»;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 xml:space="preserve"> СП 39.13330.2012 «</w:t>
      </w:r>
      <w:proofErr w:type="spellStart"/>
      <w:r w:rsidRPr="003105D8">
        <w:t>СНиП</w:t>
      </w:r>
      <w:proofErr w:type="spellEnd"/>
      <w:r w:rsidRPr="003105D8">
        <w:t xml:space="preserve"> 2.06.05-84* «Плотины из грунтовых материалов»;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СП116.13330.2012 «</w:t>
      </w:r>
      <w:proofErr w:type="spellStart"/>
      <w:r w:rsidRPr="003105D8">
        <w:t>СНиП</w:t>
      </w:r>
      <w:proofErr w:type="spellEnd"/>
      <w:r w:rsidRPr="003105D8">
        <w:t xml:space="preserve"> 22-02-2003 «Инженерная защита территорий, зданий и сооружений от опасных геологических процессов. Основные положения»;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131.13330.2012 «</w:t>
      </w:r>
      <w:proofErr w:type="spellStart"/>
      <w:r w:rsidRPr="003105D8">
        <w:t>СНиП</w:t>
      </w:r>
      <w:proofErr w:type="spellEnd"/>
      <w:r w:rsidRPr="003105D8">
        <w:t xml:space="preserve"> 23-01-99* «Строительная климатология»;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88.13330.2014 «</w:t>
      </w:r>
      <w:proofErr w:type="spellStart"/>
      <w:r w:rsidRPr="003105D8">
        <w:t>СНиП</w:t>
      </w:r>
      <w:proofErr w:type="spellEnd"/>
      <w:r w:rsidRPr="003105D8">
        <w:t xml:space="preserve"> II-11-77* «Защитные сооружения гражданской обороны»;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58.13330.2019 «</w:t>
      </w:r>
      <w:proofErr w:type="spellStart"/>
      <w:r w:rsidRPr="003105D8">
        <w:t>СНиП</w:t>
      </w:r>
      <w:proofErr w:type="spellEnd"/>
      <w:r w:rsidRPr="003105D8">
        <w:t xml:space="preserve"> 33-01-2003 «Гидротехнические сооружения. Основные положения»;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51.13330.2011 «</w:t>
      </w:r>
      <w:proofErr w:type="spellStart"/>
      <w:r w:rsidRPr="003105D8">
        <w:t>СНиП</w:t>
      </w:r>
      <w:proofErr w:type="spellEnd"/>
      <w:r w:rsidRPr="003105D8">
        <w:t xml:space="preserve"> 23-03-2003 «Защита от шума»;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СП165.1325800.2014 «</w:t>
      </w:r>
      <w:proofErr w:type="spellStart"/>
      <w:r w:rsidRPr="003105D8">
        <w:t>СНиП</w:t>
      </w:r>
      <w:proofErr w:type="spellEnd"/>
      <w:r w:rsidRPr="003105D8">
        <w:t xml:space="preserve"> 2.01.51-90 «Инженерно-технические мероприятия по гражданской обороне»;</w:t>
      </w:r>
    </w:p>
    <w:p w:rsidR="00D114C6" w:rsidRPr="003105D8" w:rsidRDefault="00D114C6" w:rsidP="002C512A">
      <w:pPr>
        <w:tabs>
          <w:tab w:val="left" w:pos="12758"/>
        </w:tabs>
        <w:spacing w:before="60"/>
        <w:ind w:right="-43" w:firstLine="709"/>
      </w:pPr>
      <w:r w:rsidRPr="003105D8">
        <w:t>СП 42-101-2003 «Общие положения по проектированию и строительству газораспределительных систем из метал</w:t>
      </w:r>
      <w:r w:rsidR="00C72B0A">
        <w:t>лических и полиэтиленовых труб»;</w:t>
      </w:r>
    </w:p>
    <w:p w:rsidR="00D114C6" w:rsidRPr="00067031" w:rsidRDefault="00D114C6" w:rsidP="002C512A">
      <w:pPr>
        <w:tabs>
          <w:tab w:val="left" w:pos="12758"/>
        </w:tabs>
        <w:ind w:right="-43" w:firstLine="709"/>
      </w:pPr>
      <w:r w:rsidRPr="003105D8">
        <w:t xml:space="preserve">СП 104.13330.2016 Инженерная защита территории от затопления и подтопления. Актуализированная редакция </w:t>
      </w:r>
      <w:proofErr w:type="spellStart"/>
      <w:r w:rsidRPr="003105D8">
        <w:t>СНиП</w:t>
      </w:r>
      <w:proofErr w:type="spellEnd"/>
      <w:r w:rsidRPr="003105D8">
        <w:t xml:space="preserve"> 2.06.15-85</w:t>
      </w:r>
      <w:r w:rsidR="002C512A">
        <w:t>»</w:t>
      </w:r>
      <w:r w:rsidR="00C72B0A">
        <w:t>.</w:t>
      </w:r>
    </w:p>
    <w:p w:rsidR="002C512A" w:rsidRPr="00660B97" w:rsidRDefault="002C512A" w:rsidP="002C512A">
      <w:pPr>
        <w:ind w:right="-1" w:firstLine="708"/>
        <w:jc w:val="both"/>
        <w:rPr>
          <w:lang w:eastAsia="ar-SA" w:bidi="ru-RU"/>
        </w:rPr>
      </w:pPr>
      <w:r>
        <w:t xml:space="preserve">2. </w:t>
      </w:r>
      <w:r w:rsidRPr="00660B97">
        <w:rPr>
          <w:lang w:eastAsia="ar-SA" w:bidi="ru-RU"/>
        </w:rPr>
        <w:t xml:space="preserve">Опубликовать настоящее решение в газете «Родной край» </w:t>
      </w:r>
      <w:r>
        <w:rPr>
          <w:lang w:eastAsia="ar-SA" w:bidi="ru-RU"/>
        </w:rPr>
        <w:t xml:space="preserve">                              </w:t>
      </w:r>
      <w:r w:rsidRPr="00660B97">
        <w:rPr>
          <w:lang w:eastAsia="ar-SA" w:bidi="ru-RU"/>
        </w:rPr>
        <w:t xml:space="preserve">и в сетевом издании «Родной край 31» (rodkray31.ru), разместить </w:t>
      </w:r>
      <w:r>
        <w:rPr>
          <w:lang w:eastAsia="ar-SA" w:bidi="ru-RU"/>
        </w:rPr>
        <w:t xml:space="preserve">                           </w:t>
      </w:r>
      <w:r w:rsidRPr="00660B97">
        <w:rPr>
          <w:lang w:eastAsia="ar-SA" w:bidi="ru-RU"/>
        </w:rPr>
        <w:t>на официальном сайте органов местного самоуправления Г</w:t>
      </w:r>
      <w:r>
        <w:rPr>
          <w:lang w:eastAsia="ar-SA" w:bidi="ru-RU"/>
        </w:rPr>
        <w:t>райворонского городского округа.</w:t>
      </w:r>
    </w:p>
    <w:p w:rsidR="002C512A" w:rsidRPr="00601772" w:rsidRDefault="002C512A" w:rsidP="002C512A">
      <w:pPr>
        <w:ind w:firstLine="709"/>
        <w:jc w:val="both"/>
      </w:pPr>
      <w:r>
        <w:lastRenderedPageBreak/>
        <w:t>3</w:t>
      </w:r>
      <w:r w:rsidRPr="00660B97">
        <w:t xml:space="preserve">. </w:t>
      </w:r>
      <w:r w:rsidRPr="00660B97">
        <w:rPr>
          <w:lang w:eastAsia="ar-SA" w:bidi="ru-RU"/>
        </w:rPr>
        <w:t xml:space="preserve">Контроль </w:t>
      </w:r>
      <w:r>
        <w:rPr>
          <w:lang w:bidi="ru-RU"/>
        </w:rPr>
        <w:t xml:space="preserve">выполнения данного решения возложить на постоянную комиссию Совета депутатов Грайворонского городского округа                               </w:t>
      </w:r>
      <w:r w:rsidRPr="008679BE">
        <w:t>по нормативно-правовой деятельности, обеспечению законности и прав граждан, соблюдению правил депутатской этики (Понеделко Н.П.)</w:t>
      </w:r>
      <w:r w:rsidRPr="00601772">
        <w:t>.</w:t>
      </w:r>
    </w:p>
    <w:p w:rsidR="002C512A" w:rsidRDefault="002C512A" w:rsidP="00D114C6">
      <w:pPr>
        <w:ind w:left="360"/>
        <w:jc w:val="both"/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2C512A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</w:t>
      </w:r>
      <w:r w:rsidR="002C512A">
        <w:rPr>
          <w:bCs/>
        </w:rPr>
        <w:t>Горбань</w:t>
      </w:r>
    </w:p>
    <w:sectPr w:rsidR="00C93DC1" w:rsidSect="00D706D6">
      <w:head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D7" w:rsidRDefault="006A47D7">
      <w:r>
        <w:separator/>
      </w:r>
    </w:p>
  </w:endnote>
  <w:endnote w:type="continuationSeparator" w:id="0">
    <w:p w:rsidR="006A47D7" w:rsidRDefault="006A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D7" w:rsidRDefault="006A47D7">
      <w:r>
        <w:separator/>
      </w:r>
    </w:p>
  </w:footnote>
  <w:footnote w:type="continuationSeparator" w:id="0">
    <w:p w:rsidR="006A47D7" w:rsidRDefault="006A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FF3971" w:rsidRDefault="00FF3971">
        <w:pPr>
          <w:pStyle w:val="a9"/>
          <w:jc w:val="center"/>
        </w:pPr>
      </w:p>
      <w:p w:rsidR="00D706D6" w:rsidRDefault="00671A7F">
        <w:pPr>
          <w:pStyle w:val="a9"/>
          <w:jc w:val="center"/>
        </w:pPr>
        <w:fldSimple w:instr=" PAGE   \* MERGEFORMAT ">
          <w:r w:rsidR="00A26742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32F63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7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2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4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6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8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9F394A"/>
    <w:multiLevelType w:val="hybridMultilevel"/>
    <w:tmpl w:val="367EF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6"/>
  </w:num>
  <w:num w:numId="5">
    <w:abstractNumId w:val="39"/>
  </w:num>
  <w:num w:numId="6">
    <w:abstractNumId w:val="32"/>
  </w:num>
  <w:num w:numId="7">
    <w:abstractNumId w:val="15"/>
  </w:num>
  <w:num w:numId="8">
    <w:abstractNumId w:val="31"/>
  </w:num>
  <w:num w:numId="9">
    <w:abstractNumId w:val="22"/>
  </w:num>
  <w:num w:numId="10">
    <w:abstractNumId w:val="24"/>
  </w:num>
  <w:num w:numId="11">
    <w:abstractNumId w:val="38"/>
  </w:num>
  <w:num w:numId="12">
    <w:abstractNumId w:val="40"/>
  </w:num>
  <w:num w:numId="13">
    <w:abstractNumId w:val="18"/>
  </w:num>
  <w:num w:numId="14">
    <w:abstractNumId w:val="11"/>
  </w:num>
  <w:num w:numId="15">
    <w:abstractNumId w:val="29"/>
  </w:num>
  <w:num w:numId="16">
    <w:abstractNumId w:val="33"/>
  </w:num>
  <w:num w:numId="17">
    <w:abstractNumId w:val="14"/>
  </w:num>
  <w:num w:numId="18">
    <w:abstractNumId w:val="13"/>
  </w:num>
  <w:num w:numId="19">
    <w:abstractNumId w:val="10"/>
  </w:num>
  <w:num w:numId="20">
    <w:abstractNumId w:val="25"/>
  </w:num>
  <w:num w:numId="21">
    <w:abstractNumId w:val="21"/>
  </w:num>
  <w:num w:numId="22">
    <w:abstractNumId w:val="16"/>
  </w:num>
  <w:num w:numId="23">
    <w:abstractNumId w:val="37"/>
  </w:num>
  <w:num w:numId="24">
    <w:abstractNumId w:val="36"/>
  </w:num>
  <w:num w:numId="25">
    <w:abstractNumId w:val="2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20"/>
  </w:num>
  <w:num w:numId="37">
    <w:abstractNumId w:val="17"/>
  </w:num>
  <w:num w:numId="38">
    <w:abstractNumId w:val="30"/>
  </w:num>
  <w:num w:numId="39">
    <w:abstractNumId w:val="28"/>
  </w:num>
  <w:num w:numId="40">
    <w:abstractNumId w:val="41"/>
  </w:num>
  <w:num w:numId="41">
    <w:abstractNumId w:val="1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791"/>
    <w:rsid w:val="00024EDF"/>
    <w:rsid w:val="00025D8C"/>
    <w:rsid w:val="00026B89"/>
    <w:rsid w:val="00030186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B04BC"/>
    <w:rsid w:val="000C0AF4"/>
    <w:rsid w:val="000C1F4A"/>
    <w:rsid w:val="000D2CED"/>
    <w:rsid w:val="000D5548"/>
    <w:rsid w:val="000F20D8"/>
    <w:rsid w:val="000F272E"/>
    <w:rsid w:val="000F7777"/>
    <w:rsid w:val="00101D4F"/>
    <w:rsid w:val="0010672A"/>
    <w:rsid w:val="00124DEF"/>
    <w:rsid w:val="00132C9C"/>
    <w:rsid w:val="00135848"/>
    <w:rsid w:val="0014349B"/>
    <w:rsid w:val="00153F82"/>
    <w:rsid w:val="00166A16"/>
    <w:rsid w:val="00171DCA"/>
    <w:rsid w:val="001803BE"/>
    <w:rsid w:val="00193344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12D68"/>
    <w:rsid w:val="00226590"/>
    <w:rsid w:val="00240E63"/>
    <w:rsid w:val="00243BEC"/>
    <w:rsid w:val="00246E53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C512A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3E59"/>
    <w:rsid w:val="00354971"/>
    <w:rsid w:val="003557B8"/>
    <w:rsid w:val="00355DDF"/>
    <w:rsid w:val="00364D48"/>
    <w:rsid w:val="00370143"/>
    <w:rsid w:val="00374E70"/>
    <w:rsid w:val="00376467"/>
    <w:rsid w:val="00380EDD"/>
    <w:rsid w:val="0038371C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06E2B"/>
    <w:rsid w:val="00411656"/>
    <w:rsid w:val="00411CCB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A627F"/>
    <w:rsid w:val="004B5832"/>
    <w:rsid w:val="004C5815"/>
    <w:rsid w:val="004D1B77"/>
    <w:rsid w:val="004D2762"/>
    <w:rsid w:val="004E1D3F"/>
    <w:rsid w:val="004E282B"/>
    <w:rsid w:val="004E7137"/>
    <w:rsid w:val="004E795F"/>
    <w:rsid w:val="004F14F2"/>
    <w:rsid w:val="004F250C"/>
    <w:rsid w:val="004F3017"/>
    <w:rsid w:val="004F33D8"/>
    <w:rsid w:val="004F4F02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473DE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E0294"/>
    <w:rsid w:val="005F56C1"/>
    <w:rsid w:val="0060572B"/>
    <w:rsid w:val="00611FDF"/>
    <w:rsid w:val="00612144"/>
    <w:rsid w:val="00620F82"/>
    <w:rsid w:val="006234A2"/>
    <w:rsid w:val="0062435E"/>
    <w:rsid w:val="0062509C"/>
    <w:rsid w:val="0062543A"/>
    <w:rsid w:val="00625CB4"/>
    <w:rsid w:val="006410F9"/>
    <w:rsid w:val="006475E3"/>
    <w:rsid w:val="006512F9"/>
    <w:rsid w:val="0065394A"/>
    <w:rsid w:val="00653DF2"/>
    <w:rsid w:val="00664BA6"/>
    <w:rsid w:val="00667819"/>
    <w:rsid w:val="00671A7F"/>
    <w:rsid w:val="006736A5"/>
    <w:rsid w:val="0068593B"/>
    <w:rsid w:val="00691C48"/>
    <w:rsid w:val="00696752"/>
    <w:rsid w:val="006A47D7"/>
    <w:rsid w:val="006A5DA5"/>
    <w:rsid w:val="006B010A"/>
    <w:rsid w:val="006B6DBB"/>
    <w:rsid w:val="006B7719"/>
    <w:rsid w:val="006C10FE"/>
    <w:rsid w:val="006C76CB"/>
    <w:rsid w:val="006D0B11"/>
    <w:rsid w:val="006D107D"/>
    <w:rsid w:val="006D6536"/>
    <w:rsid w:val="006D7E46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45A3C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D69F6"/>
    <w:rsid w:val="007E2DE2"/>
    <w:rsid w:val="007F2B39"/>
    <w:rsid w:val="007F4C10"/>
    <w:rsid w:val="00800A06"/>
    <w:rsid w:val="0080207A"/>
    <w:rsid w:val="00810765"/>
    <w:rsid w:val="008300CE"/>
    <w:rsid w:val="00832115"/>
    <w:rsid w:val="00843B13"/>
    <w:rsid w:val="00847191"/>
    <w:rsid w:val="008479B0"/>
    <w:rsid w:val="00856644"/>
    <w:rsid w:val="00861021"/>
    <w:rsid w:val="00866959"/>
    <w:rsid w:val="0087672E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1D20"/>
    <w:rsid w:val="008D6654"/>
    <w:rsid w:val="008D6AB2"/>
    <w:rsid w:val="008D6C00"/>
    <w:rsid w:val="008D6F21"/>
    <w:rsid w:val="008E4DE5"/>
    <w:rsid w:val="008F1383"/>
    <w:rsid w:val="008F6064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2283"/>
    <w:rsid w:val="009A44DC"/>
    <w:rsid w:val="009B13A0"/>
    <w:rsid w:val="009B4446"/>
    <w:rsid w:val="009B747A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26742"/>
    <w:rsid w:val="00A31A75"/>
    <w:rsid w:val="00A34CA3"/>
    <w:rsid w:val="00A47B37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1FD4"/>
    <w:rsid w:val="00AA4967"/>
    <w:rsid w:val="00AA7DA7"/>
    <w:rsid w:val="00AB1F95"/>
    <w:rsid w:val="00AB2EA8"/>
    <w:rsid w:val="00AB55D6"/>
    <w:rsid w:val="00AC4497"/>
    <w:rsid w:val="00AC5DFD"/>
    <w:rsid w:val="00AE093C"/>
    <w:rsid w:val="00AE1E1F"/>
    <w:rsid w:val="00AE3865"/>
    <w:rsid w:val="00AE5789"/>
    <w:rsid w:val="00AF0237"/>
    <w:rsid w:val="00AF3C7B"/>
    <w:rsid w:val="00AF428E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15AF"/>
    <w:rsid w:val="00B5347B"/>
    <w:rsid w:val="00B92A37"/>
    <w:rsid w:val="00B95D48"/>
    <w:rsid w:val="00B96BCE"/>
    <w:rsid w:val="00B96DBC"/>
    <w:rsid w:val="00BA256E"/>
    <w:rsid w:val="00BA5847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4A64"/>
    <w:rsid w:val="00C56ACA"/>
    <w:rsid w:val="00C619E7"/>
    <w:rsid w:val="00C6217E"/>
    <w:rsid w:val="00C66999"/>
    <w:rsid w:val="00C679F5"/>
    <w:rsid w:val="00C72B0A"/>
    <w:rsid w:val="00C72FC2"/>
    <w:rsid w:val="00C75046"/>
    <w:rsid w:val="00C81C97"/>
    <w:rsid w:val="00C8623F"/>
    <w:rsid w:val="00C93DC1"/>
    <w:rsid w:val="00C93F34"/>
    <w:rsid w:val="00C95955"/>
    <w:rsid w:val="00CA36F6"/>
    <w:rsid w:val="00CA616D"/>
    <w:rsid w:val="00CB25E9"/>
    <w:rsid w:val="00CC00CE"/>
    <w:rsid w:val="00CC08D9"/>
    <w:rsid w:val="00CC3A7F"/>
    <w:rsid w:val="00CD5911"/>
    <w:rsid w:val="00CD7DC4"/>
    <w:rsid w:val="00CF0101"/>
    <w:rsid w:val="00CF6757"/>
    <w:rsid w:val="00CF7A35"/>
    <w:rsid w:val="00D015DE"/>
    <w:rsid w:val="00D04CD6"/>
    <w:rsid w:val="00D11034"/>
    <w:rsid w:val="00D114C6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B710F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141B4"/>
    <w:rsid w:val="00E24FCB"/>
    <w:rsid w:val="00E32990"/>
    <w:rsid w:val="00E40941"/>
    <w:rsid w:val="00E4127C"/>
    <w:rsid w:val="00E41BE6"/>
    <w:rsid w:val="00E432A4"/>
    <w:rsid w:val="00E44681"/>
    <w:rsid w:val="00E556CD"/>
    <w:rsid w:val="00E55CC2"/>
    <w:rsid w:val="00E576FC"/>
    <w:rsid w:val="00E65E80"/>
    <w:rsid w:val="00E662C4"/>
    <w:rsid w:val="00E908A5"/>
    <w:rsid w:val="00E95911"/>
    <w:rsid w:val="00EA0FD1"/>
    <w:rsid w:val="00EA5F5E"/>
    <w:rsid w:val="00EA7BA7"/>
    <w:rsid w:val="00EB3CD4"/>
    <w:rsid w:val="00EB49BF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3EBA"/>
    <w:rsid w:val="00FC475A"/>
    <w:rsid w:val="00FC55EB"/>
    <w:rsid w:val="00FC6BEC"/>
    <w:rsid w:val="00FC7BB9"/>
    <w:rsid w:val="00FD52A5"/>
    <w:rsid w:val="00FE0224"/>
    <w:rsid w:val="00FF202F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0DE-878F-42F7-9028-F16A7DC9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2022-11-17T07:23:00Z</cp:lastPrinted>
  <dcterms:created xsi:type="dcterms:W3CDTF">2022-11-18T08:34:00Z</dcterms:created>
  <dcterms:modified xsi:type="dcterms:W3CDTF">2022-11-18T08:34:00Z</dcterms:modified>
</cp:coreProperties>
</file>