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669321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6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666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6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6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6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6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6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6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6"/>
        <w:jc w:val="both"/>
        <w:rPr>
          <w:sz w:val="22"/>
        </w:rPr>
      </w:pPr>
      <w:r>
        <w:rPr>
          <w:b/>
          <w:sz w:val="22"/>
          <w:szCs w:val="18"/>
        </w:rPr>
        <w:t xml:space="preserve">«_09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_августа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_555_</w:t>
      </w:r>
      <w:r>
        <w:rPr>
          <w:sz w:val="22"/>
          <w:szCs w:val="28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701"/>
        </w:trPr>
        <w:tc>
          <w:tcPr>
            <w:tcW w:w="7230" w:type="dxa"/>
            <w:textDirection w:val="lrTb"/>
            <w:noWrap w:val="false"/>
          </w:tcPr>
          <w:p>
            <w:pPr>
              <w:jc w:val="center"/>
              <w:tabs>
                <w:tab w:val="left" w:pos="4080" w:leader="none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карт-планов территорий в границах кадастровых кварталов: 31:13:1502001, 31:13:1502002, 31:13:1502003 и 31:13:1602003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/>
      <w:bookmarkStart w:id="0" w:name="_GoBack"/>
      <w:r>
        <w:rPr>
          <w:sz w:val="28"/>
          <w:szCs w:val="28"/>
        </w:rPr>
        <w:t xml:space="preserve">В соответствии со статьей 42.10 Федерального закона от 24 июля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2007 года № 221-ФЗ «О кадастровой деятельности», постановлением администрации Грайворонского городского округа от 23 декабря 2021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715 «О проведении комплексных кадастровых работ на территории Грайворонского городского округа», распоряжением администрации Грайворонского городского округа от 10 марта 2022 года № 248-р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создании согласительной комиссии по согласованию местоположения границ земельных участков при выполнении комплексных кадастровых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работ на территории Грайворонского городского округа», с учетом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протоколов заседания согласительной комиссии от 20 июня 2022 года № 1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от 28 июля 2022 года № 2, по вопросу согласования местоположения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границ земельных участков, расположенных в границах кадастровых кварталов с учетными номерами: 31:13:1502001, 31:13:1502002, 31:13:1502003, 31:13:1602003, при выполнении комплексных кадастровых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муниципального контракта № 0126600001522000005/2022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«09» марта 2022 года, заключения согласительной комиссии от 29 июля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2022 года №1 о результатах рассмотрения возражений заинтересованных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лиц относительно местоположения границ земельных участков,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установленных при выполнении комплексных кадастровых работ</w:t>
      </w:r>
      <w:r>
        <w:rPr>
          <w:bCs/>
          <w:sz w:val="28"/>
          <w:szCs w:val="28"/>
        </w:rPr>
        <w:t xml:space="preserve"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 о с т а н о в л я ю:</w:t>
      </w:r>
      <w:r/>
    </w:p>
    <w:p>
      <w:pPr>
        <w:pStyle w:val="688"/>
        <w:numPr>
          <w:ilvl w:val="0"/>
          <w:numId w:val="4"/>
        </w:numPr>
        <w:ind w:left="0" w:firstLine="720"/>
        <w:jc w:val="both"/>
        <w:tabs>
          <w:tab w:val="left" w:pos="1134" w:leader="none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Утвердить карт-</w:t>
      </w:r>
      <w:r>
        <w:rPr>
          <w:color w:val="auto"/>
          <w:sz w:val="28"/>
          <w:szCs w:val="28"/>
        </w:rPr>
        <w:t xml:space="preserve">планы </w:t>
      </w:r>
      <w:r>
        <w:rPr>
          <w:bCs/>
          <w:color w:val="auto"/>
          <w:sz w:val="28"/>
          <w:szCs w:val="28"/>
        </w:rPr>
        <w:t xml:space="preserve">территорий в границах кадастровых </w:t>
      </w:r>
      <w:r>
        <w:rPr>
          <w:bCs/>
          <w:color w:val="auto"/>
          <w:sz w:val="28"/>
          <w:szCs w:val="28"/>
        </w:rPr>
        <w:br/>
      </w:r>
      <w:r>
        <w:rPr>
          <w:bCs/>
          <w:color w:val="auto"/>
          <w:sz w:val="28"/>
          <w:szCs w:val="28"/>
        </w:rPr>
        <w:t xml:space="preserve">кварталов: </w:t>
      </w:r>
      <w:r>
        <w:rPr>
          <w:sz w:val="28"/>
          <w:szCs w:val="28"/>
        </w:rPr>
        <w:t xml:space="preserve">31:13:1502001, 31:13:1502002, 31:13:1502003, 31:13:1602003</w:t>
      </w:r>
      <w:r>
        <w:rPr>
          <w:color w:val="auto"/>
          <w:sz w:val="28"/>
          <w:szCs w:val="28"/>
        </w:rPr>
        <w:t xml:space="preserve">,</w:t>
      </w:r>
      <w:r>
        <w:rPr>
          <w:sz w:val="28"/>
          <w:szCs w:val="28"/>
        </w:rPr>
        <w:t xml:space="preserve"> расположенных на территории Грайворонского городского округа, размещенные на </w:t>
      </w:r>
      <w:r>
        <w:rPr>
          <w:color w:val="auto"/>
          <w:sz w:val="28"/>
          <w:szCs w:val="28"/>
        </w:rPr>
        <w:t xml:space="preserve">официальном сайте о</w:t>
      </w:r>
      <w:r>
        <w:rPr>
          <w:color w:val="auto"/>
          <w:sz w:val="28"/>
          <w:szCs w:val="28"/>
          <w:shd w:val="clear" w:color="auto" w:fill="ffffff"/>
        </w:rPr>
        <w:t xml:space="preserve">рганов местного самоуправления </w:t>
      </w:r>
      <w:r>
        <w:rPr>
          <w:color w:val="auto"/>
          <w:sz w:val="28"/>
          <w:szCs w:val="28"/>
        </w:rPr>
        <w:t xml:space="preserve">Грайворонского городского округа Белгородской области в сети Интернет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>
        <w:rPr>
          <w:sz w:val="28"/>
          <w:szCs w:val="28"/>
        </w:rPr>
        <w:t xml:space="preserve">по адресу: https://www.graivoron.ru/deyatelnost/zemelnye-i-imushestvennye-otnosheniya/kompleksnye-kadastrovye-raboty-kkr/</w:t>
      </w:r>
      <w:r>
        <w:rPr>
          <w:color w:val="auto"/>
          <w:sz w:val="28"/>
          <w:szCs w:val="28"/>
        </w:rPr>
        <w:t xml:space="preserve">.</w:t>
      </w:r>
      <w:r/>
    </w:p>
    <w:p>
      <w:pPr>
        <w:pStyle w:val="688"/>
        <w:numPr>
          <w:ilvl w:val="0"/>
          <w:numId w:val="4"/>
        </w:numPr>
        <w:ind w:left="0"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собственности и земельных ресурсов администрации Грайворонского городского округа (Зайцев А.В.) обеспечить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установленном действующим законодательством порядке внесение в Единый государственный реестр недвижимости сведений о земельных участках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 местоположении на них зданий, сооружений, объектов незавершенного строительства, полученных в результате выполнения комплексных кадастровых работ.</w:t>
      </w:r>
      <w:r/>
    </w:p>
    <w:p>
      <w:pPr>
        <w:pStyle w:val="677"/>
        <w:numPr>
          <w:ilvl w:val="0"/>
          <w:numId w:val="4"/>
        </w:numPr>
        <w:ind w:left="0"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  <w:lang w:eastAsia="en-US"/>
        </w:rPr>
        <w:br/>
        <w:t xml:space="preserve">и сетевом издании «Родной край 31»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 xml:space="preserve">rodkray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en-US"/>
        </w:rPr>
        <w:t xml:space="preserve">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www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graivoron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  <w:lang w:eastAsia="en-US"/>
        </w:rPr>
        <w:t xml:space="preserve">).</w:t>
      </w:r>
      <w:bookmarkEnd w:id="0"/>
      <w:r/>
    </w:p>
    <w:p>
      <w:pPr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оставляю за собой.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4182338"/>
      <w:docPartObj>
        <w:docPartGallery w:val="Page Numbers (Top of Page)"/>
        <w:docPartUnique w:val="true"/>
      </w:docPartObj>
      <w:rPr/>
    </w:sdtPr>
    <w:sdtContent>
      <w:p>
        <w:pPr>
          <w:pStyle w:val="68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6"/>
    <w:next w:val="66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6"/>
    <w:next w:val="66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6"/>
    <w:next w:val="66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6"/>
    <w:next w:val="66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6"/>
    <w:next w:val="66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6"/>
    <w:next w:val="66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6"/>
    <w:next w:val="66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6"/>
    <w:next w:val="66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6"/>
    <w:next w:val="66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6"/>
    <w:next w:val="66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7"/>
    <w:link w:val="32"/>
    <w:uiPriority w:val="10"/>
    <w:rPr>
      <w:sz w:val="48"/>
      <w:szCs w:val="48"/>
    </w:rPr>
  </w:style>
  <w:style w:type="paragraph" w:styleId="34">
    <w:name w:val="Subtitle"/>
    <w:basedOn w:val="666"/>
    <w:next w:val="66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7"/>
    <w:link w:val="34"/>
    <w:uiPriority w:val="11"/>
    <w:rPr>
      <w:sz w:val="24"/>
      <w:szCs w:val="24"/>
    </w:rPr>
  </w:style>
  <w:style w:type="paragraph" w:styleId="36">
    <w:name w:val="Quote"/>
    <w:basedOn w:val="666"/>
    <w:next w:val="66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6"/>
    <w:next w:val="66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7"/>
    <w:link w:val="689"/>
    <w:uiPriority w:val="99"/>
  </w:style>
  <w:style w:type="character" w:styleId="43">
    <w:name w:val="Footer Char"/>
    <w:basedOn w:val="667"/>
    <w:link w:val="691"/>
    <w:uiPriority w:val="99"/>
  </w:style>
  <w:style w:type="paragraph" w:styleId="44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1"/>
    <w:uiPriority w:val="99"/>
  </w:style>
  <w:style w:type="table" w:styleId="46">
    <w:name w:val="Table Grid"/>
    <w:basedOn w:val="6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7"/>
    <w:uiPriority w:val="99"/>
    <w:unhideWhenUsed/>
    <w:rPr>
      <w:vertAlign w:val="superscript"/>
    </w:rPr>
  </w:style>
  <w:style w:type="paragraph" w:styleId="176">
    <w:name w:val="endnote text"/>
    <w:basedOn w:val="66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7"/>
    <w:uiPriority w:val="99"/>
    <w:semiHidden/>
    <w:unhideWhenUsed/>
    <w:rPr>
      <w:vertAlign w:val="superscript"/>
    </w:rPr>
  </w:style>
  <w:style w:type="paragraph" w:styleId="179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>
    <w:name w:val="Body Text"/>
    <w:basedOn w:val="666"/>
    <w:link w:val="671"/>
    <w:pPr>
      <w:spacing w:after="120"/>
    </w:pPr>
    <w:rPr>
      <w:sz w:val="20"/>
      <w:szCs w:val="20"/>
    </w:rPr>
  </w:style>
  <w:style w:type="character" w:styleId="671" w:customStyle="1">
    <w:name w:val="Основной текст Знак"/>
    <w:basedOn w:val="667"/>
    <w:link w:val="670"/>
    <w:rPr>
      <w:rFonts w:ascii="Times New Roman" w:hAnsi="Times New Roman" w:cs="Times New Roman"/>
    </w:rPr>
  </w:style>
  <w:style w:type="paragraph" w:styleId="672">
    <w:name w:val="Body Text Indent 2"/>
    <w:basedOn w:val="666"/>
    <w:link w:val="673"/>
    <w:pPr>
      <w:ind w:left="283"/>
      <w:spacing w:after="120" w:line="480" w:lineRule="auto"/>
    </w:pPr>
    <w:rPr>
      <w:sz w:val="20"/>
      <w:szCs w:val="20"/>
    </w:rPr>
  </w:style>
  <w:style w:type="character" w:styleId="673" w:customStyle="1">
    <w:name w:val="Основной текст с отступом 2 Знак"/>
    <w:basedOn w:val="667"/>
    <w:link w:val="672"/>
    <w:rPr>
      <w:rFonts w:ascii="Times New Roman" w:hAnsi="Times New Roman" w:cs="Times New Roman"/>
    </w:rPr>
  </w:style>
  <w:style w:type="paragraph" w:styleId="674">
    <w:name w:val="Balloon Text"/>
    <w:basedOn w:val="666"/>
    <w:link w:val="675"/>
    <w:uiPriority w:val="99"/>
    <w:semiHidden/>
    <w:unhideWhenUsed/>
    <w:rPr>
      <w:rFonts w:ascii="Tahoma" w:hAnsi="Tahoma" w:cs="Tahoma"/>
      <w:sz w:val="16"/>
      <w:szCs w:val="16"/>
    </w:rPr>
  </w:style>
  <w:style w:type="character" w:styleId="675" w:customStyle="1">
    <w:name w:val="Текст выноски Знак"/>
    <w:basedOn w:val="667"/>
    <w:link w:val="674"/>
    <w:uiPriority w:val="99"/>
    <w:semiHidden/>
    <w:rPr>
      <w:rFonts w:ascii="Tahoma" w:hAnsi="Tahoma" w:cs="Tahoma"/>
      <w:sz w:val="16"/>
      <w:szCs w:val="16"/>
    </w:rPr>
  </w:style>
  <w:style w:type="paragraph" w:styleId="676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77">
    <w:name w:val="List Paragraph"/>
    <w:basedOn w:val="666"/>
    <w:uiPriority w:val="34"/>
    <w:qFormat/>
    <w:pPr>
      <w:contextualSpacing/>
      <w:ind w:left="720"/>
    </w:pPr>
  </w:style>
  <w:style w:type="paragraph" w:styleId="678">
    <w:name w:val="Normal (Web)"/>
    <w:basedOn w:val="666"/>
    <w:uiPriority w:val="99"/>
    <w:unhideWhenUsed/>
    <w:pPr>
      <w:spacing w:before="100" w:beforeAutospacing="1" w:after="100" w:afterAutospacing="1"/>
    </w:pPr>
  </w:style>
  <w:style w:type="paragraph" w:styleId="679" w:customStyle="1">
    <w:name w:val="paragraph"/>
    <w:basedOn w:val="666"/>
    <w:pPr>
      <w:spacing w:before="100" w:beforeAutospacing="1" w:after="100" w:afterAutospacing="1"/>
    </w:pPr>
  </w:style>
  <w:style w:type="character" w:styleId="680" w:customStyle="1">
    <w:name w:val="normaltextrun"/>
    <w:basedOn w:val="667"/>
  </w:style>
  <w:style w:type="character" w:styleId="681" w:customStyle="1">
    <w:name w:val="scxw111914594"/>
    <w:basedOn w:val="667"/>
  </w:style>
  <w:style w:type="character" w:styleId="682" w:customStyle="1">
    <w:name w:val="eop"/>
    <w:basedOn w:val="667"/>
  </w:style>
  <w:style w:type="character" w:styleId="683" w:customStyle="1">
    <w:name w:val="tabchar"/>
    <w:basedOn w:val="667"/>
  </w:style>
  <w:style w:type="character" w:styleId="684" w:customStyle="1">
    <w:name w:val="spellingerror"/>
    <w:basedOn w:val="667"/>
  </w:style>
  <w:style w:type="character" w:styleId="685" w:customStyle="1">
    <w:name w:val="Основной текст (2)_"/>
    <w:basedOn w:val="667"/>
    <w:link w:val="686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86" w:customStyle="1">
    <w:name w:val="Основной текст (2)"/>
    <w:basedOn w:val="666"/>
    <w:link w:val="685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87" w:customStyle="1">
    <w:name w:val="docdata"/>
    <w:basedOn w:val="666"/>
    <w:pPr>
      <w:spacing w:before="100" w:beforeAutospacing="1" w:after="100" w:afterAutospacing="1"/>
    </w:pPr>
  </w:style>
  <w:style w:type="paragraph" w:styleId="688" w:customStyle="1">
    <w:name w:val="Default"/>
    <w:rPr>
      <w:rFonts w:ascii="Times New Roman" w:hAnsi="Times New Roman" w:cs="Times New Roman"/>
      <w:color w:val="000000"/>
      <w:sz w:val="24"/>
      <w:szCs w:val="24"/>
    </w:rPr>
  </w:style>
  <w:style w:type="paragraph" w:styleId="689">
    <w:name w:val="Header"/>
    <w:basedOn w:val="666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Верхний колонтитул Знак"/>
    <w:basedOn w:val="667"/>
    <w:link w:val="689"/>
    <w:uiPriority w:val="99"/>
    <w:rPr>
      <w:rFonts w:ascii="Times New Roman" w:hAnsi="Times New Roman" w:cs="Times New Roman"/>
      <w:sz w:val="24"/>
      <w:szCs w:val="24"/>
    </w:rPr>
  </w:style>
  <w:style w:type="paragraph" w:styleId="691">
    <w:name w:val="Footer"/>
    <w:basedOn w:val="666"/>
    <w:link w:val="69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2" w:customStyle="1">
    <w:name w:val="Нижний колонтитул Знак"/>
    <w:basedOn w:val="667"/>
    <w:link w:val="691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6335F83-EB7A-4BEF-BF8D-B7281D6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14</cp:revision>
  <dcterms:created xsi:type="dcterms:W3CDTF">2021-07-21T11:06:00Z</dcterms:created>
  <dcterms:modified xsi:type="dcterms:W3CDTF">2022-08-09T13:14:19Z</dcterms:modified>
</cp:coreProperties>
</file>