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0"/>
        <w:ind w:left="783" w:right="0"/>
        <w:jc w:val="both"/>
      </w:pPr>
      <w:r>
        <w:rPr>
          <w:rFonts w:eastAsia="Times New Roman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2615" cy="68262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45100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-17" t="-13" r="-16" b="-13"/>
                        <a:stretch/>
                      </pic:blipFill>
                      <pic:spPr bwMode="auto">
                        <a:xfrm>
                          <a:off x="0" y="0"/>
                          <a:ext cx="602605" cy="6826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true;mso-position-horizontal-relative:text;margin-left:216.0pt;mso-position-horizontal:absolute;mso-position-vertical-relative:text;margin-top:-9.0pt;mso-position-vertical:absolute;width:47.4pt;height:53.8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="Times New Roman"/>
          <w:sz w:val="26"/>
          <w:szCs w:val="26"/>
          <w:highlight w:val="none"/>
        </w:rPr>
      </w:r>
      <w:r/>
    </w:p>
    <w:p>
      <w:pPr>
        <w:pStyle w:val="669"/>
        <w:jc w:val="center"/>
      </w:pPr>
      <w:r/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b/>
        </w:rPr>
        <w:t xml:space="preserve">Б е л г о р о д с к а я   о б л а с т ь</w:t>
      </w:r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АДМИНИСТРАЦИЯ </w:t>
      </w:r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ГРАЙВОРОНСКОГО МУНИЦИПАЛЬНОГО ОКРУГА</w:t>
      </w:r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БЕЛГОРОДСКОЙ ОБЛАСТИ</w:t>
      </w:r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69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spacing w:val="20"/>
          <w:sz w:val="32"/>
          <w:szCs w:val="32"/>
        </w:rPr>
        <w:t xml:space="preserve">ПОСТАНОВЛЕНИЕ</w:t>
      </w:r>
      <w:r/>
      <w:r/>
    </w:p>
    <w:p>
      <w:pPr>
        <w:pStyle w:val="669"/>
        <w:jc w:val="center"/>
      </w:pPr>
      <w:r>
        <w:rPr>
          <w:rFonts w:ascii="Arial" w:hAnsi="Arial" w:cs="Arial"/>
        </w:rPr>
      </w:r>
      <w:r/>
      <w:r/>
    </w:p>
    <w:p>
      <w:pPr>
        <w:pStyle w:val="669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  <w:r/>
    </w:p>
    <w:p>
      <w:pPr>
        <w:pStyle w:val="669"/>
      </w:pPr>
      <w:r>
        <w:rPr>
          <w:rFonts w:ascii="Arial" w:hAnsi="Arial" w:cs="Arial"/>
          <w:sz w:val="24"/>
          <w:szCs w:val="24"/>
        </w:rPr>
      </w:r>
      <w:r/>
      <w:r/>
    </w:p>
    <w:p>
      <w:pPr>
        <w:pStyle w:val="669"/>
        <w:jc w:val="both"/>
        <w:rPr>
          <w:rFonts w:eastAsia="Times New Roman"/>
          <w:sz w:val="26"/>
          <w:szCs w:val="26"/>
          <w:highlight w:val="none"/>
        </w:rPr>
      </w:pPr>
      <w:r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29 июля 2026  года</w:t>
        <w:tab/>
        <w:tab/>
        <w:tab/>
        <w:tab/>
        <w:tab/>
        <w:tab/>
        <w:tab/>
        <w:tab/>
        <w:tab/>
        <w:t xml:space="preserve">№ 402</w:t>
      </w:r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7230" w:type="dxa"/>
        <w:tblInd w:w="1242" w:type="dxa"/>
        <w:tblLook w:val="01E0" w:firstRow="1" w:lastRow="1" w:firstColumn="1" w:lastColumn="1" w:noHBand="0" w:noVBand="0"/>
      </w:tblPr>
      <w:tblGrid>
        <w:gridCol w:w="7230"/>
      </w:tblGrid>
      <w:tr>
        <w:trPr>
          <w:trHeight w:val="701"/>
        </w:trPr>
        <w:tc>
          <w:tcPr>
            <w:tcW w:w="723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отчета об исполнении бюджета </w:t>
            </w:r>
            <w:r/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Грайворонского муниципального округа </w:t>
            </w:r>
            <w:r/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 2 квартал 2026 года</w:t>
            </w:r>
            <w:r/>
          </w:p>
        </w:tc>
      </w:tr>
    </w:tbl>
    <w:p>
      <w:pPr>
        <w:ind w:firstLine="720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134" w:leader="none"/>
        </w:tabs>
        <w:rPr>
          <w:b/>
          <w:sz w:val="16"/>
          <w:szCs w:val="16"/>
        </w:rPr>
      </w:pPr>
      <w:r>
        <w:rPr>
          <w:sz w:val="28"/>
          <w:szCs w:val="28"/>
        </w:rPr>
        <w:t xml:space="preserve">Во исполнение статьи 264.2 Бюджетного кодекса Российской Федерации и статьи 82 Положения о бюджетном устройстве и бюджетном процессе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Грайворонском муниципальном округе Белгородской области, утвержденного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Совета депутатов Грайворонского муниципального округа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26 февраля 2025 года №220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 о с т а н о в л я ю: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отчет об исполнении бюджета Грайворонского муниципального округа за 2 квартал 2026 года по доходам в сумме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716 265 816 (с</w:t>
      </w:r>
      <w:r>
        <w:rPr>
          <w:sz w:val="28"/>
          <w:szCs w:val="28"/>
        </w:rPr>
        <w:t xml:space="preserve">емьсот шестнадцать миллионов двести шестьдесят п</w:t>
      </w:r>
      <w:r>
        <w:rPr>
          <w:sz w:val="28"/>
          <w:szCs w:val="28"/>
        </w:rPr>
        <w:t xml:space="preserve">ять тысяч восемьсот шестнадцать</w:t>
      </w:r>
      <w:r>
        <w:rPr>
          <w:sz w:val="28"/>
          <w:szCs w:val="28"/>
        </w:rPr>
        <w:t xml:space="preserve">) рублей 97 копеек и по расходам в сумме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729 214 </w:t>
      </w:r>
      <w:r>
        <w:rPr>
          <w:sz w:val="28"/>
          <w:szCs w:val="28"/>
        </w:rPr>
        <w:t xml:space="preserve">301 (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емьсот двадцать девять миллионов двести четырнадцать тысяч триста один) рубль 10 копеек,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 превышением расходов над доходами (</w:t>
      </w:r>
      <w:r>
        <w:rPr>
          <w:sz w:val="28"/>
          <w:szCs w:val="28"/>
        </w:rPr>
        <w:t xml:space="preserve">дефицит бюджета) в сумме 12 948 484 (д</w:t>
      </w:r>
      <w:r>
        <w:rPr>
          <w:sz w:val="28"/>
          <w:szCs w:val="28"/>
        </w:rPr>
        <w:t xml:space="preserve">венадцать миллионов девятьсот сорок восемь тысяч четыреста восемьдесят четыре) рубля 13 копеек, с показателями:</w:t>
      </w:r>
      <w:r/>
    </w:p>
    <w:p>
      <w:pPr>
        <w:ind w:firstLine="708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внутренним источникам финансирования дефицита бюджета согласно приложению №1;</w:t>
      </w:r>
      <w:r/>
    </w:p>
    <w:p>
      <w:pPr>
        <w:ind w:firstLine="708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доходам бюджета Грайворонского муниципального округа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квартал 2026 года согласно приложению №2;</w:t>
      </w:r>
      <w:r/>
    </w:p>
    <w:p>
      <w:pPr>
        <w:ind w:firstLine="708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расходам бюджета Грайворонского муниципального округа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2 квартал 2026 года по разделам и подразделам функциональной классификации расходов бюджетов Российской Федерации согласно приложению №3.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Направить отчет об исполнении бюджета Грайворонского муниципального округа за 2 квартал 2026 года в Совет депутатов Грайворонского муниципального округа </w:t>
      </w:r>
      <w:r>
        <w:rPr>
          <w:sz w:val="28"/>
          <w:szCs w:val="28"/>
        </w:rPr>
        <w:t xml:space="preserve">и Контрольно -</w:t>
      </w:r>
      <w:r>
        <w:rPr>
          <w:sz w:val="28"/>
          <w:szCs w:val="28"/>
        </w:rPr>
        <w:t xml:space="preserve"> счетную комиссию муниципального округа.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отчет об исполнении бюджетных ассигнований резервного фонда администрации Грайворонского муниципального округа за 2 квартал 2026 года согласно приложению №4. 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Главным администраторам (администраторам) доходов бюдж</w:t>
      </w:r>
      <w:r>
        <w:rPr>
          <w:sz w:val="28"/>
          <w:szCs w:val="28"/>
        </w:rPr>
        <w:t xml:space="preserve">ета Грайворонского муниципального округа и источников финансирования дефицита бюджета муниципального округа, главным распорядителям (распорядителям) бюджетных средств принять меры к выполнению бюджетных показателей по доходам и расходам, предусмотренным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квартал 2026 года. 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Опубликовать настоящее постановление</w:t>
      </w:r>
      <w:r>
        <w:rPr>
          <w:sz w:val="28"/>
          <w:szCs w:val="28"/>
        </w:rPr>
        <w:t xml:space="preserve"> в газете «Родной край»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сетевом издании «Родной край 31» (rodkray31.ru), разместить на официальном сайте органов местного самоуправления Грайворонского муниципального округа (gr</w:t>
      </w:r>
      <w:r>
        <w:rPr>
          <w:sz w:val="28"/>
          <w:szCs w:val="28"/>
        </w:rPr>
        <w:t xml:space="preserve">ajvoron-r31.gosweb.gosuslugi.ru</w:t>
      </w:r>
      <w:r>
        <w:rPr>
          <w:sz w:val="28"/>
          <w:szCs w:val="28"/>
        </w:rPr>
        <w:t xml:space="preserve">).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исполнением постановления возложить на первого заместителя главы администрации - председателя комитета финансов </w:t>
      </w:r>
      <w:r>
        <w:rPr>
          <w:sz w:val="28"/>
          <w:szCs w:val="28"/>
        </w:rPr>
        <w:br/>
        <w:t xml:space="preserve">и налоговой политики администрации Грайворонского муниципального округа Бляшенко А.А.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820"/>
        <w:gridCol w:w="4819"/>
      </w:tblGrid>
      <w:tr>
        <w:trPr/>
        <w:tc>
          <w:tcPr>
            <w:tcW w:w="4820" w:type="dxa"/>
            <w:textDirection w:val="lrTb"/>
            <w:noWrap w:val="false"/>
          </w:tcPr>
          <w:p>
            <w:pPr>
              <w:ind w:left="-10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-10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Д.А. Панков</w:t>
            </w:r>
            <w:r/>
          </w:p>
        </w:tc>
      </w:tr>
    </w:tbl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jc w:val="both"/>
        <w:tabs>
          <w:tab w:val="left" w:pos="1134" w:leader="none"/>
        </w:tabs>
      </w:pPr>
      <w:r/>
      <w:r/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528"/>
      </w:tblGrid>
      <w:tr>
        <w:trPr/>
        <w:tc>
          <w:tcPr>
            <w:tcW w:w="4219" w:type="dxa"/>
            <w:textDirection w:val="lrTb"/>
            <w:noWrap w:val="false"/>
          </w:tcPr>
          <w:p>
            <w:pPr>
              <w:ind w:right="21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№1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постановлению администрации Грайворонского </w:t>
            </w:r>
            <w:r>
              <w:rPr>
                <w:b/>
                <w:sz w:val="28"/>
                <w:szCs w:val="28"/>
              </w:rPr>
              <w:t xml:space="preserve"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Белгородской области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от «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29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  <w:u w:val="single"/>
              </w:rPr>
              <w:t xml:space="preserve">июля</w:t>
            </w:r>
            <w:r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 xml:space="preserve">6</w:t>
            </w:r>
            <w:r>
              <w:rPr>
                <w:b/>
                <w:sz w:val="28"/>
                <w:szCs w:val="28"/>
              </w:rPr>
              <w:t xml:space="preserve"> г. № </w:t>
            </w:r>
            <w:r>
              <w:rPr>
                <w:b/>
                <w:sz w:val="28"/>
                <w:szCs w:val="28"/>
                <w:u w:val="single"/>
              </w:rPr>
              <w:t xml:space="preserve">402</w:t>
            </w:r>
            <w:r>
              <w:rPr>
                <w:b/>
                <w:sz w:val="28"/>
                <w:szCs w:val="28"/>
                <w:u w:val="single"/>
              </w:rPr>
            </w:r>
            <w:r>
              <w:rPr>
                <w:u w:val="single"/>
              </w:rPr>
            </w:r>
          </w:p>
          <w:p>
            <w:pPr>
              <w:ind w:right="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муниципального округа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(руб.)</w:t>
      </w:r>
      <w:r/>
    </w:p>
    <w:tbl>
      <w:tblPr>
        <w:tblW w:w="9694" w:type="dxa"/>
        <w:tblInd w:w="108" w:type="dxa"/>
        <w:tblLook w:val="04A0" w:firstRow="1" w:lastRow="0" w:firstColumn="1" w:lastColumn="0" w:noHBand="0" w:noVBand="1"/>
      </w:tblPr>
      <w:tblGrid>
        <w:gridCol w:w="3119"/>
        <w:gridCol w:w="2835"/>
        <w:gridCol w:w="1984"/>
        <w:gridCol w:w="1756"/>
      </w:tblGrid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Код дохода по КД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Утверждено </w:t>
            </w:r>
            <w:r/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 01.07.2026г.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Исполнено</w:t>
            </w:r>
            <w:r/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на 01.07.2026г.</w:t>
            </w:r>
            <w:r/>
          </w:p>
        </w:tc>
      </w:tr>
      <w:tr>
        <w:trPr>
          <w:trHeight w:val="5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финансирования дефицита бюджета -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13 520 000,00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12 948 484,13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Изменение остатков средств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000 01 00 00 00 00 0000 000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13 520 000,00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12 948 484,13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Кредиты кредитных организаций в валюте Российской Федерации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000 01 02 00 00 00 0000 000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Погашение кредитов, предоставленных кредитными организациями в валюте Российской Федерации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000 01 02 00 00 00 0000 800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Погашение бюджетами муниципальных районов  кредитов от кредитных организаций в валюте Российской Федерации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000 01 02 00 00 05 0000 810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остатков средств, всего</w:t>
            </w:r>
            <w:r>
              <w:rPr>
                <w:sz w:val="22"/>
                <w:szCs w:val="22"/>
              </w:rPr>
              <w:br/>
              <w:t xml:space="preserve">          в том числе: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000 01 00 00 00 00 0000 500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-1 648 753 400,00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723 590 613,47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остатков средств бюджетов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000 01 05 00 00 00 0000 500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-1 648 753 400,00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723 590 613,47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прочих остатков средств бюджетов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000 01 05 02 00 00 0000 500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-1 648 753 400,00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723 590 613,47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прочих остатков денежных средств  бюджетов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000 01 05 02 01 00 0000 510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-1 648 753 400,00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723 590 613,47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прочих остатков денежных средст</w:t>
            </w: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бюджетов городских округов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000 01 05 02 01 14 0000 510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-1 648 753 400,00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-723 590 613,47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Уменьшение остатков средств, всего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в том числе: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000 01 00 00 00 00 0000 600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1 662 273 400,00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729 214 301,10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Уменьшение остатков средств бюджетов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000 01 05 00 00 00 0000 600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1 662 273 400,00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729 214 301,10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Уменьшение прочих остатков средств бюджетов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000 01 05 02 00 00 0000 600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1 662 273 400,00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729 214 301,10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Уменьшение прочих остатков денежных средств  бюджетов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000 01 05 02 01 00 0000 610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1 662 273 400,00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729 214 301,10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Уменьшение пр</w:t>
            </w:r>
            <w:r>
              <w:rPr>
                <w:sz w:val="22"/>
                <w:szCs w:val="22"/>
              </w:rPr>
              <w:t xml:space="preserve">очих остатков денежных средств </w:t>
            </w:r>
            <w:r>
              <w:rPr>
                <w:sz w:val="22"/>
                <w:szCs w:val="22"/>
              </w:rPr>
              <w:t xml:space="preserve">бюджетов муниципальных округов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000 01 05 02 01 14 0000 610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1 662 273 400,00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729 214 301,10</w:t>
            </w:r>
            <w:r/>
          </w:p>
        </w:tc>
      </w:tr>
    </w:tbl>
    <w:p>
      <w:pPr>
        <w:ind w:firstLine="720"/>
        <w:jc w:val="both"/>
        <w:tabs>
          <w:tab w:val="left" w:pos="1134" w:leader="none"/>
        </w:tabs>
      </w:pPr>
      <w:r/>
      <w:r/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528"/>
      </w:tblGrid>
      <w:tr>
        <w:trPr/>
        <w:tc>
          <w:tcPr>
            <w:tcW w:w="4219" w:type="dxa"/>
            <w:textDirection w:val="lrTb"/>
            <w:noWrap w:val="false"/>
          </w:tcPr>
          <w:p>
            <w:pPr>
              <w:ind w:right="21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№2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постановлению администрации Грайворонского </w:t>
            </w:r>
            <w:r>
              <w:rPr>
                <w:b/>
                <w:sz w:val="28"/>
                <w:szCs w:val="28"/>
              </w:rPr>
              <w:t xml:space="preserve"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Белгородской области</w:t>
            </w:r>
            <w:r/>
          </w:p>
          <w:p>
            <w:pPr>
              <w:ind w:right="21"/>
              <w:jc w:val="center"/>
            </w:pPr>
            <w:r>
              <w:rPr>
                <w:b/>
                <w:sz w:val="28"/>
                <w:szCs w:val="28"/>
              </w:rPr>
              <w:t xml:space="preserve">от «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29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  <w:u w:val="single"/>
              </w:rPr>
              <w:t xml:space="preserve">июля</w:t>
            </w:r>
            <w:r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 xml:space="preserve">6</w:t>
            </w:r>
            <w:r>
              <w:rPr>
                <w:b/>
                <w:sz w:val="28"/>
                <w:szCs w:val="28"/>
              </w:rPr>
              <w:t xml:space="preserve"> г. № </w:t>
            </w:r>
            <w:r>
              <w:rPr>
                <w:b/>
                <w:sz w:val="28"/>
                <w:szCs w:val="28"/>
                <w:u w:val="single"/>
              </w:rPr>
              <w:t xml:space="preserve">402</w:t>
            </w:r>
            <w:r>
              <w:rPr>
                <w:b/>
                <w:sz w:val="28"/>
                <w:szCs w:val="28"/>
                <w:u w:val="single"/>
              </w:rPr>
            </w:r>
            <w:r/>
          </w:p>
          <w:p>
            <w:pPr>
              <w:ind w:right="21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ind w:right="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Исполнение доходной части бюджета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муниципального округа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(руб.)</w:t>
      </w:r>
      <w:r/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559"/>
        <w:gridCol w:w="1276"/>
        <w:gridCol w:w="1134"/>
        <w:gridCol w:w="1275"/>
      </w:tblGrid>
      <w:tr>
        <w:trPr>
          <w:trHeight w:val="61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Наименование показателя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Код дохода по КД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Утверждено </w:t>
            </w:r>
            <w:r/>
          </w:p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 01.07.2026г.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Исполнено на 01.07.2026г.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исполнения</w:t>
            </w:r>
            <w:r/>
          </w:p>
          <w:p>
            <w:pPr>
              <w:ind w:left="-108" w:right="-1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 годовым назначениям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Отклонение (+/-) от годового плана  </w:t>
            </w:r>
            <w:r/>
          </w:p>
        </w:tc>
      </w:tr>
      <w:tr>
        <w:trPr>
          <w:trHeight w:val="61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Доходы бюджета - всего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1 648 753 400.00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716 265816.97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932 487 583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Налоговые и неналоговые доходы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000 1 00 00000 00 0000 000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245 170 000.00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103 607 0 12.19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141 562 988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Налоги на прибыль, доходы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000 1 01 00000 00 0000 000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156 287 000.00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58 666 624.45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97 620 376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Налог на доходы 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физических лиц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000 1 01 02000 01 0000 110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156 287 000.00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58 666 624.45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97 620 376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Налоги на товары (работы, услуги), реализуемые на территории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000 1 03 00000 00 0000 000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19 383 000.00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8 950 045.72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10 432 954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Акцизы по подакцизным товарам (продукции), производимым на территории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000 1 03 02000 01 0000 110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19 383 000.00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8 950 045.72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10 432 954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Налоги на совокупный доход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000 1 05 00000 00 0000 000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17 138 000.00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11 641 081.60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5 496 918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Единый налог на вмененный доход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4 411.29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-4 411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Единый сельскохозяйственный налог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000 1 05 03000 01 0000 110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12 733 000.00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11 238 427.25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1 494 573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Налог, взимаемый в связи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с применением патентной системы налогообложения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000 1 05 04000 02 0000 110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4 405 000.00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398 243.06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4 006 757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Налоги на имущество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000 1 06 00000 00 0000 000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36 127 000.00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19 753 049.27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16 373 951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Налог на имущество физических лиц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000 1 06 01000 00 0000 110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10 558 000.00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1 054 958.06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9 503 042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налог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000 1 06 06000 00 0000 110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25 569 000.00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18 698 091.21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6 870 909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налог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 с организаций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000 1 06 06030 00 0000 110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16 364 000.00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17 968 486.96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-1 604 487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налог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с физических лиц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000 1 06 06040 00 0000 110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9 205 000.00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729 604.25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8 475 396</w:t>
            </w:r>
            <w:r/>
          </w:p>
        </w:tc>
      </w:tr>
      <w:tr>
        <w:trPr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Государственная пошлина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000 1 08 00000 00 0000 000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6 369 000.00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2 235 989.36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4 133 011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000 1 11 00000 00 0000 000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7 425 000.00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2 068 170.42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5 356 830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ind w:left="-107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Доходы, получаемые в виде арендной платы за земельные участки, государственная собственность на которые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не разграничена, а также средства от продажи права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на заключение договоров аренды указанных земельных участков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000 1 11 05010 00 0000 120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6 856 000.00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1 829 661.14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5 026 339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ind w:left="-107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Доходы от сдачи в аренду имущества, находящегося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и автономных учреждений)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000 1 11 05030 00 0000 120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316 000.00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142 983.00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173 017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ind w:left="-107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</w:t>
            </w:r>
            <w:r>
              <w:rPr>
                <w:sz w:val="18"/>
                <w:szCs w:val="18"/>
              </w:rPr>
              <w:t xml:space="preserve">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000 1 11 09040 00 0000 120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253 000.00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95 526.28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157 474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Доходы от продажи материальных и нематериальных активов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000 1 14 00000 00 0000 000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1 825 000.00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225 910.37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1 599 090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ind w:left="-107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Доходы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продажи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имущества, находящегося в оперативном управлении учреждений, находящихся в ведении органов управления муниципальных округов(за исключением имущества муниципальных бюджетных и автономных учреждений)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000 1 14 06000 00 0000 410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100 000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ind w:left="-107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Доходы от продажи земельных </w:t>
            </w:r>
            <w:r>
              <w:rPr>
                <w:sz w:val="18"/>
                <w:szCs w:val="18"/>
              </w:rPr>
              <w:t xml:space="preserve">участков, находящихся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в государственной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и муниципальной собственности (за исключением земельных участков бюджетных и автономных учреждений)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000 1 14 06000 00 0000 430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1 725 000.00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225 910.37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1 499 090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Штрафы, санкции, возмещение ущерба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000 1 16 00000 00 0000 000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616 000.00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66 141.00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549 859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Невыясненные поступления, зачисляемые в бюджеты городских округов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000 1 17 01040 00 0000 000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Безвозмездные поступления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000 2 00 00000 00 0000 000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1 403 583 400.00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612 658 804.78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790 924 595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Дотации бюджетам бюджетной системы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000 2 02 10000 00 0000 150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431 119 000.00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215 433 500.00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215 685 500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бюджетам бюджетной системы Российской Федерации (межбюджетные субсидии)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000 2 02 20000 00 0000 150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204 082 700.00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23 581 524.19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180 501 176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Субвенции бюджетам бюджетной системы Российской Федерации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000 2 02 30000 00 0000 150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768 381 700.00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373 695 430.59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394 686 269</w:t>
            </w:r>
            <w:r/>
          </w:p>
        </w:tc>
      </w:tr>
      <w:tr>
        <w:trPr>
          <w:trHeight w:val="6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000 2 19 00000 00 0000 000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-51 650.00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51 650</w:t>
            </w:r>
            <w:r/>
          </w:p>
        </w:tc>
      </w:tr>
    </w:tbl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528"/>
      </w:tblGrid>
      <w:tr>
        <w:trPr/>
        <w:tc>
          <w:tcPr>
            <w:tcW w:w="4219" w:type="dxa"/>
            <w:textDirection w:val="lrTb"/>
            <w:noWrap w:val="false"/>
          </w:tcPr>
          <w:p>
            <w:pPr>
              <w:ind w:right="21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№3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постановлению администрации Грайворонского </w:t>
            </w:r>
            <w:r>
              <w:rPr>
                <w:b/>
                <w:sz w:val="28"/>
                <w:szCs w:val="28"/>
              </w:rPr>
              <w:t xml:space="preserve"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Белгородской области</w:t>
            </w:r>
            <w:r/>
          </w:p>
          <w:p>
            <w:pPr>
              <w:ind w:right="21"/>
              <w:jc w:val="center"/>
              <w:rPr>
                <w:bCs/>
              </w:rPr>
            </w:pPr>
            <w:r>
              <w:rPr>
                <w:b/>
                <w:sz w:val="28"/>
                <w:szCs w:val="28"/>
              </w:rPr>
              <w:t xml:space="preserve">от «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29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  <w:u w:val="single"/>
              </w:rPr>
              <w:t xml:space="preserve">июля</w:t>
            </w:r>
            <w:r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 xml:space="preserve">6</w:t>
            </w:r>
            <w:r>
              <w:rPr>
                <w:b/>
                <w:sz w:val="28"/>
                <w:szCs w:val="28"/>
              </w:rPr>
              <w:t xml:space="preserve"> г. № </w:t>
            </w:r>
            <w:r>
              <w:rPr>
                <w:b/>
                <w:sz w:val="28"/>
                <w:szCs w:val="28"/>
                <w:u w:val="single"/>
              </w:rPr>
              <w:t xml:space="preserve">402</w:t>
            </w:r>
            <w:r>
              <w:rPr>
                <w:b/>
                <w:sz w:val="28"/>
                <w:szCs w:val="28"/>
                <w:u w:val="single"/>
              </w:rPr>
            </w:r>
            <w:r/>
          </w:p>
          <w:p>
            <w:pPr>
              <w:ind w:right="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ind w:firstLine="720"/>
        <w:jc w:val="both"/>
        <w:tabs>
          <w:tab w:val="left" w:pos="1134" w:leader="none"/>
        </w:tabs>
      </w:pPr>
      <w:r/>
      <w:r/>
    </w:p>
    <w:p>
      <w:pPr>
        <w:ind w:firstLine="720"/>
        <w:jc w:val="both"/>
        <w:tabs>
          <w:tab w:val="left" w:pos="1134" w:leader="none"/>
        </w:tabs>
      </w:pPr>
      <w:r/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Исполнение расходной части бюджета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муниципального округа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 квартал 2026 года</w:t>
      </w:r>
      <w:r/>
    </w:p>
    <w:p>
      <w:pPr>
        <w:jc w:val="right"/>
      </w:pPr>
      <w:r/>
      <w:r/>
    </w:p>
    <w:p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(руб.)</w:t>
      </w:r>
      <w:r/>
    </w:p>
    <w:tbl>
      <w:tblPr>
        <w:tblW w:w="489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7"/>
        <w:gridCol w:w="2830"/>
        <w:gridCol w:w="1421"/>
        <w:gridCol w:w="1278"/>
        <w:gridCol w:w="1135"/>
        <w:gridCol w:w="1268"/>
      </w:tblGrid>
      <w:tr>
        <w:trPr>
          <w:trHeight w:val="525"/>
        </w:trPr>
        <w:tc>
          <w:tcPr>
            <w:shd w:val="clear" w:color="000000" w:fill="ffffff"/>
            <w:tcW w:w="368" w:type="pct"/>
            <w:vAlign w:val="center"/>
            <w:vMerge w:val="restart"/>
            <w:textDirection w:val="lrTb"/>
            <w:noWrap/>
          </w:tcPr>
          <w:p>
            <w:pPr>
              <w:ind w:left="-142" w:firstLine="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Раздел</w:t>
            </w:r>
            <w:r/>
          </w:p>
        </w:tc>
        <w:tc>
          <w:tcPr>
            <w:shd w:val="clear" w:color="000000" w:fill="ffffff"/>
            <w:tcW w:w="517" w:type="pct"/>
            <w:vAlign w:val="center"/>
            <w:vMerge w:val="restart"/>
            <w:textDirection w:val="lrTb"/>
            <w:noWrap/>
          </w:tcPr>
          <w:p>
            <w:pPr>
              <w:ind w:left="-107" w:right="-10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Подраздел</w:t>
            </w:r>
            <w:r/>
          </w:p>
        </w:tc>
        <w:tc>
          <w:tcPr>
            <w:shd w:val="clear" w:color="000000" w:fill="ffffff"/>
            <w:tcW w:w="1468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Наименование показателя</w:t>
            </w:r>
            <w:r/>
          </w:p>
        </w:tc>
        <w:tc>
          <w:tcPr>
            <w:shd w:val="clear" w:color="000000" w:fill="ffffff"/>
            <w:tcW w:w="73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Утверждено</w:t>
            </w:r>
            <w:r/>
          </w:p>
        </w:tc>
        <w:tc>
          <w:tcPr>
            <w:shd w:val="clear" w:color="000000" w:fill="ffffff"/>
            <w:tcW w:w="66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Исполнено</w:t>
            </w:r>
            <w:r/>
          </w:p>
        </w:tc>
        <w:tc>
          <w:tcPr>
            <w:shd w:val="clear" w:color="000000" w:fill="ffffff"/>
            <w:tcW w:w="589" w:type="pct"/>
            <w:vAlign w:val="bottom"/>
            <w:vMerge w:val="restart"/>
            <w:textDirection w:val="lrTb"/>
            <w:noWrap w:val="false"/>
          </w:tcPr>
          <w:p>
            <w:pPr>
              <w:ind w:left="-100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Процент исполнения </w:t>
            </w:r>
            <w:r/>
          </w:p>
          <w:p>
            <w:pPr>
              <w:ind w:left="-100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 годовым назначениям</w:t>
            </w:r>
            <w:r/>
          </w:p>
        </w:tc>
        <w:tc>
          <w:tcPr>
            <w:shd w:val="clear" w:color="000000" w:fill="ffffff"/>
            <w:tcW w:w="659" w:type="pct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Отклонение (+,-) от годового плана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/>
          </w:p>
        </w:tc>
        <w:tc>
          <w:tcPr>
            <w:shd w:val="clear" w:color="000000" w:fill="ffffff"/>
            <w:tcW w:w="737" w:type="pct"/>
            <w:vAlign w:val="bottom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/>
          </w:p>
        </w:tc>
        <w:tc>
          <w:tcPr>
            <w:shd w:val="clear" w:color="000000" w:fill="ffffff"/>
            <w:tcW w:w="663" w:type="pct"/>
            <w:vAlign w:val="bottom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/>
          </w:p>
        </w:tc>
        <w:tc>
          <w:tcPr>
            <w:shd w:val="clear" w:color="000000" w:fill="ffffff"/>
            <w:tcW w:w="589" w:type="pct"/>
            <w:vAlign w:val="bottom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/>
          </w:p>
        </w:tc>
        <w:tc>
          <w:tcPr>
            <w:shd w:val="clear" w:color="000000" w:fill="ffffff"/>
            <w:tcW w:w="659" w:type="pct"/>
            <w:vAlign w:val="bottom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/>
          </w:p>
        </w:tc>
      </w:tr>
      <w:tr>
        <w:trPr>
          <w:trHeight w:val="58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Общегосударственные вопросы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103 357 888,00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57 075 629,04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55,2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46 282 258,96</w:t>
            </w:r>
            <w:r/>
          </w:p>
        </w:tc>
      </w:tr>
      <w:tr>
        <w:trPr>
          <w:trHeight w:val="96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ind w:left="-114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3 553 700,00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2 016 003,00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56,7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1 537 697,00</w:t>
            </w:r>
            <w:r/>
          </w:p>
        </w:tc>
      </w:tr>
      <w:tr>
        <w:trPr>
          <w:trHeight w:val="1419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ind w:left="-114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3 831 700,00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1 617 117,89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2 214 582,11</w:t>
            </w:r>
            <w:r/>
          </w:p>
        </w:tc>
      </w:tr>
      <w:tr>
        <w:trPr>
          <w:trHeight w:val="142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ind w:left="-114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73 847 788,00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44 718 998,79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60,6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29 128 789,21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Судебная система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51 700,00</w:t>
            </w:r>
            <w:r/>
          </w:p>
        </w:tc>
      </w:tr>
      <w:tr>
        <w:trPr>
          <w:trHeight w:val="1512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06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20 277 000,00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8 323 357,48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41,0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11 953 642,52</w:t>
            </w:r>
            <w:r/>
          </w:p>
        </w:tc>
      </w:tr>
      <w:tr>
        <w:trPr>
          <w:trHeight w:val="42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Резервные фонды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870 000,00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870 000,00</w:t>
            </w:r>
            <w:r/>
          </w:p>
        </w:tc>
      </w:tr>
      <w:tr>
        <w:trPr>
          <w:trHeight w:val="612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общегосударственные вопросы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926 000,00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400 151,88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525 848,12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Национальная оборона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2 881 000,00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860 638,85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29,9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2 020 361,15</w:t>
            </w:r>
            <w:r/>
          </w:p>
        </w:tc>
      </w:tr>
      <w:tr>
        <w:trPr>
          <w:trHeight w:val="48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Мобилизационная и вневойсковая подготовка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2 881 000,00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860 638,85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29,9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2 020 361,15</w:t>
            </w:r>
            <w:r/>
          </w:p>
        </w:tc>
      </w:tr>
      <w:tr>
        <w:trPr>
          <w:trHeight w:val="684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Национальная безопасность </w:t>
            </w:r>
            <w:r/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 правоохранительная деятельность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17 177 000,00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7 536 862,84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43,9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9 640 137,16</w:t>
            </w:r>
            <w:r/>
          </w:p>
        </w:tc>
      </w:tr>
      <w:tr>
        <w:trPr>
          <w:trHeight w:val="264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Органы юстиции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2 016 000,00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713 659,56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35,4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1 302 340,44</w:t>
            </w:r>
            <w:r/>
          </w:p>
        </w:tc>
      </w:tr>
      <w:tr>
        <w:trPr>
          <w:trHeight w:val="118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12 697 000,00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5 424 003,28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42,7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7 272 996,72</w:t>
            </w:r>
            <w:r/>
          </w:p>
        </w:tc>
      </w:tr>
      <w:tr>
        <w:trPr>
          <w:trHeight w:val="70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вопросы в области национальной безопасности 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правоохранительной деятельности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2 464 000,00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1 399 200,00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56,8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1 064 800,00</w:t>
            </w:r>
            <w:r/>
          </w:p>
        </w:tc>
      </w:tr>
      <w:tr>
        <w:trPr>
          <w:trHeight w:val="54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Национальная экономика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280 161 152,11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66 748 551,05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23,8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213 412 601,06</w:t>
            </w:r>
            <w:r/>
          </w:p>
        </w:tc>
      </w:tr>
      <w:tr>
        <w:trPr>
          <w:trHeight w:val="52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Сельское хозяйство 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рыболовство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991 700,00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400 732,24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40,4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590 967,76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Транспорт  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13 092 612,00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10 922 553,27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83,4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2 170 058,73</w:t>
            </w:r>
            <w:r/>
          </w:p>
        </w:tc>
      </w:tr>
      <w:tr>
        <w:trPr>
          <w:trHeight w:val="48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Дорожное хозяйство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(дорожные фонды)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184 726 900,00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13 333 533,93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171 393 366,07</w:t>
            </w:r>
            <w:r/>
          </w:p>
        </w:tc>
      </w:tr>
      <w:tr>
        <w:trPr>
          <w:trHeight w:val="48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вопросы в области национальной экономики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81 349 940,11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42 091 731,61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51,7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39 258 208,50</w:t>
            </w:r>
            <w:r/>
          </w:p>
        </w:tc>
      </w:tr>
      <w:tr>
        <w:trPr>
          <w:trHeight w:val="672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Жилищно-коммунальное хозяйство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57 355 649,89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27 147 815,74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47,3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30 207 834,15</w:t>
            </w:r>
            <w:r/>
          </w:p>
        </w:tc>
      </w:tr>
      <w:tr>
        <w:trPr>
          <w:trHeight w:val="58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Жилищное хозяйство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1 405 000,00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1 018 571,64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72,5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386 428,36</w:t>
            </w:r>
            <w:r/>
          </w:p>
        </w:tc>
      </w:tr>
      <w:tr>
        <w:trPr>
          <w:trHeight w:val="564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Коммунальное хозяйство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1 754 000,00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1 222 200,00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69,7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531 800,00</w:t>
            </w:r>
            <w:r/>
          </w:p>
        </w:tc>
      </w:tr>
      <w:tr>
        <w:trPr>
          <w:trHeight w:val="52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Благоустройство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39 610 849,89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19 200 027,25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48,5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20 410 822,64</w:t>
            </w:r>
            <w:r/>
          </w:p>
        </w:tc>
      </w:tr>
      <w:tr>
        <w:trPr>
          <w:trHeight w:val="100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вопросы в области жилищно-коммунального хозяйства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14 585 800,00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5 707 016,85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39,1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8 878 783,15</w:t>
            </w:r>
            <w:r/>
          </w:p>
        </w:tc>
      </w:tr>
      <w:tr>
        <w:trPr>
          <w:trHeight w:val="48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06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Охрана окружающей среды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477 000,00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162 772,76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34,1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314 227,24</w:t>
            </w:r>
            <w:r/>
          </w:p>
        </w:tc>
      </w:tr>
      <w:tr>
        <w:trPr>
          <w:trHeight w:val="699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06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вопросы в области охраны </w:t>
            </w:r>
            <w:r>
              <w:rPr>
                <w:sz w:val="18"/>
                <w:szCs w:val="18"/>
              </w:rPr>
              <w:t xml:space="preserve">окружающей</w:t>
            </w:r>
            <w:r>
              <w:rPr>
                <w:sz w:val="18"/>
                <w:szCs w:val="18"/>
              </w:rPr>
              <w:t xml:space="preserve"> среды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477 000,00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162 772,76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34,1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314 227,24</w:t>
            </w:r>
            <w:r/>
          </w:p>
        </w:tc>
      </w:tr>
      <w:tr>
        <w:trPr>
          <w:trHeight w:val="312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Образование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656 551 400,00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340 798 334,81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51,9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315 753 065,19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Дошкольное образование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96 961 662,00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40 087 900,75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41,3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56 873 761,25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Общее образование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467 856 408,00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267 337 174,78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57,1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200 519 233,22</w:t>
            </w:r>
            <w:r/>
          </w:p>
        </w:tc>
      </w:tr>
      <w:tr>
        <w:trPr>
          <w:trHeight w:val="60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Начальное профессиональное образование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56 158 040,00</w:t>
            </w:r>
            <w:r/>
          </w:p>
        </w:tc>
        <w:tc>
          <w:tcPr>
            <w:shd w:val="clear" w:color="auto" w:fill="auto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18 633 666,15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37 524 373,85</w:t>
            </w:r>
            <w:r/>
          </w:p>
        </w:tc>
      </w:tr>
      <w:tr>
        <w:trPr>
          <w:trHeight w:val="72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Профессиональная подготовка, переподготовка и повышение квалификации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100 000,00</w:t>
            </w:r>
            <w:r/>
          </w:p>
        </w:tc>
        <w:tc>
          <w:tcPr>
            <w:shd w:val="clear" w:color="auto" w:fill="auto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100 000,00</w:t>
            </w:r>
            <w:r/>
          </w:p>
        </w:tc>
      </w:tr>
      <w:tr>
        <w:trPr>
          <w:trHeight w:val="624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Молодежная политика 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оздоровление детей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4 955 500,00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2 163 874,37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43,7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2 791 625,63</w:t>
            </w:r>
            <w:r/>
          </w:p>
        </w:tc>
      </w:tr>
      <w:tr>
        <w:trPr>
          <w:trHeight w:val="639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вопросы в области образования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30 519 790,00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12 575 718,76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17 944 071,24</w:t>
            </w:r>
            <w:r/>
          </w:p>
        </w:tc>
      </w:tr>
      <w:tr>
        <w:trPr>
          <w:trHeight w:val="492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08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Культура, кинематография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185 361 000,00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80 022 641,41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43,2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105 338 358,59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140 062 100,00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58 599 894,46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41,8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81 462 205,54</w:t>
            </w:r>
            <w:r/>
          </w:p>
        </w:tc>
      </w:tr>
      <w:tr>
        <w:trPr>
          <w:trHeight w:val="579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вопросы в области культуры, кинематографии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45 298 900,00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21 422 746,95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47,3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23 876 153,05</w:t>
            </w:r>
            <w:r/>
          </w:p>
        </w:tc>
      </w:tr>
      <w:tr>
        <w:trPr>
          <w:trHeight w:val="312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Социальная политика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308 409 610,00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133 669 089,75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43,3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174 740 520,25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Пенсионное обеспечение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6 205 650,00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6 198 246,31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99,9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7 403,69</w:t>
            </w:r>
            <w:r/>
          </w:p>
        </w:tc>
      </w:tr>
      <w:tr>
        <w:trPr>
          <w:trHeight w:val="48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Социальное обслуживание населения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81 008 800,00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39 804 020,59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49,1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41 204 779,41</w:t>
            </w:r>
            <w:r/>
          </w:p>
        </w:tc>
      </w:tr>
      <w:tr>
        <w:trPr>
          <w:trHeight w:val="504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Социальное обеспечение населения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150 946 760,00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53 168 166,60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35,2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97 778 593,40</w:t>
            </w:r>
            <w:r/>
          </w:p>
        </w:tc>
      </w:tr>
      <w:tr>
        <w:trPr>
          <w:trHeight w:val="276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Охрана семьи и детства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52 574 700,00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26 466 707,36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50,3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26 107 992,64</w:t>
            </w:r>
            <w:r/>
          </w:p>
        </w:tc>
      </w:tr>
      <w:tr>
        <w:trPr>
          <w:trHeight w:val="48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06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Другие вопросы в области социальной политики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17 673 700,00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8 031 948,89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45,4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9 641 751,11</w:t>
            </w:r>
            <w:r/>
          </w:p>
        </w:tc>
      </w:tr>
      <w:tr>
        <w:trPr>
          <w:trHeight w:val="519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Физическая культура и спорт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48 839 700,00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14 340 964,85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29,4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34 498 735,15</w:t>
            </w:r>
            <w:r/>
          </w:p>
        </w:tc>
      </w:tr>
      <w:tr>
        <w:trPr>
          <w:trHeight w:val="264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Массовый спорт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48 839 700,00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14 340 964,85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29,4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34 498 735,15</w:t>
            </w:r>
            <w:r/>
          </w:p>
        </w:tc>
      </w:tr>
      <w:tr>
        <w:trPr>
          <w:trHeight w:val="528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12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Средства массовой информации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1 702 000,00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851 000,00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50,0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851 000,00</w:t>
            </w:r>
            <w:r/>
          </w:p>
        </w:tc>
      </w:tr>
      <w:tr>
        <w:trPr>
          <w:trHeight w:val="480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Периодическая печать 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издательства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1 702 000,00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851 000,00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50,0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851 000,00</w:t>
            </w:r>
            <w:r/>
          </w:p>
        </w:tc>
      </w:tr>
      <w:tr>
        <w:trPr>
          <w:trHeight w:val="492"/>
        </w:trPr>
        <w:tc>
          <w:tcPr>
            <w:shd w:val="clear" w:color="000000" w:fill="ffffff"/>
            <w:tcW w:w="368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51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000000" w:fill="ffffff"/>
            <w:tcW w:w="146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ВСЕГО РАСХОДОВ </w:t>
            </w:r>
            <w:r/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 бюджету</w:t>
            </w:r>
            <w:r/>
          </w:p>
        </w:tc>
        <w:tc>
          <w:tcPr>
            <w:shd w:val="clear" w:color="000000" w:fill="ffffff"/>
            <w:tcW w:w="737" w:type="pct"/>
            <w:vAlign w:val="center"/>
            <w:textDirection w:val="lrTb"/>
            <w:noWrap/>
          </w:tcPr>
          <w:p>
            <w:pPr>
              <w:ind w:left="-105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1 662 273 400,00</w:t>
            </w:r>
            <w:r/>
          </w:p>
        </w:tc>
        <w:tc>
          <w:tcPr>
            <w:shd w:val="clear" w:color="000000" w:fill="ffffff"/>
            <w:tcW w:w="663" w:type="pct"/>
            <w:vAlign w:val="center"/>
            <w:textDirection w:val="lrTb"/>
            <w:noWrap/>
          </w:tcPr>
          <w:p>
            <w:pPr>
              <w:ind w:left="-106" w:right="-10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729 214 301,10</w:t>
            </w:r>
            <w:r/>
          </w:p>
        </w:tc>
        <w:tc>
          <w:tcPr>
            <w:shd w:val="clear" w:color="000000" w:fill="ffffff"/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43,9</w:t>
            </w:r>
            <w:r/>
          </w:p>
        </w:tc>
        <w:tc>
          <w:tcPr>
            <w:shd w:val="clear" w:color="000000" w:fill="ffffff"/>
            <w:tcW w:w="659" w:type="pct"/>
            <w:vAlign w:val="center"/>
            <w:textDirection w:val="lrTb"/>
            <w:noWrap/>
          </w:tcPr>
          <w:p>
            <w:pPr>
              <w:ind w:left="-114" w:right="-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933 059 098,90</w:t>
            </w:r>
            <w:r/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r/>
      <w:r/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528"/>
      </w:tblGrid>
      <w:tr>
        <w:trPr/>
        <w:tc>
          <w:tcPr>
            <w:tcW w:w="4219" w:type="dxa"/>
            <w:textDirection w:val="lrTb"/>
            <w:noWrap w:val="false"/>
          </w:tcPr>
          <w:p>
            <w:pPr>
              <w:ind w:right="21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№4</w:t>
            </w:r>
            <w:r/>
          </w:p>
          <w:p>
            <w:pPr>
              <w:ind w:left="-108" w:right="-114"/>
              <w:jc w:val="center"/>
              <w:widowControl w:val="off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  <w:r/>
          </w:p>
          <w:p>
            <w:pPr>
              <w:ind w:left="-108" w:right="-114"/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Утвержден</w:t>
            </w:r>
            <w:r/>
          </w:p>
          <w:p>
            <w:pPr>
              <w:ind w:left="-108" w:right="-114"/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постановлением администрации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Грайворонского </w:t>
            </w:r>
            <w:r>
              <w:rPr>
                <w:b/>
                <w:sz w:val="28"/>
                <w:szCs w:val="28"/>
              </w:rPr>
              <w:t xml:space="preserve"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Белгородской области</w:t>
            </w:r>
            <w:r/>
          </w:p>
          <w:p>
            <w:pPr>
              <w:ind w:right="21"/>
              <w:jc w:val="center"/>
              <w:rPr>
                <w:bCs/>
              </w:rPr>
            </w:pPr>
            <w:r>
              <w:rPr>
                <w:b/>
                <w:sz w:val="28"/>
                <w:szCs w:val="28"/>
              </w:rPr>
              <w:t xml:space="preserve">от «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29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  <w:u w:val="single"/>
              </w:rPr>
              <w:t xml:space="preserve">июля</w:t>
            </w:r>
            <w:r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 xml:space="preserve">6</w:t>
            </w:r>
            <w:r>
              <w:rPr>
                <w:b/>
                <w:sz w:val="28"/>
                <w:szCs w:val="28"/>
              </w:rPr>
              <w:t xml:space="preserve"> г. № </w:t>
            </w:r>
            <w:r>
              <w:rPr>
                <w:b/>
                <w:sz w:val="28"/>
                <w:szCs w:val="28"/>
                <w:u w:val="single"/>
              </w:rPr>
              <w:t xml:space="preserve">402</w:t>
            </w:r>
            <w:r>
              <w:rPr>
                <w:b/>
                <w:sz w:val="28"/>
                <w:szCs w:val="28"/>
                <w:u w:val="single"/>
              </w:rPr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ind w:right="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jc w:val="right"/>
      </w:pPr>
      <w:r/>
      <w:r/>
    </w:p>
    <w:p>
      <w:pPr>
        <w:ind w:left="709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об использовании бюджетных </w:t>
      </w:r>
      <w:r/>
    </w:p>
    <w:p>
      <w:pPr>
        <w:ind w:left="709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ассигнований резервного фонда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администрации </w:t>
      </w:r>
      <w:r/>
    </w:p>
    <w:p>
      <w:pPr>
        <w:ind w:left="709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муниципального округа </w:t>
      </w:r>
      <w:r/>
    </w:p>
    <w:p>
      <w:pPr>
        <w:ind w:left="709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 квартал 2026 года</w:t>
      </w:r>
      <w:r/>
    </w:p>
    <w:p>
      <w:pPr>
        <w:ind w:left="709" w:right="56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(руб.) </w:t>
      </w:r>
      <w:r/>
    </w:p>
    <w:tbl>
      <w:tblPr>
        <w:tblW w:w="489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71"/>
        <w:gridCol w:w="1411"/>
        <w:gridCol w:w="1471"/>
        <w:gridCol w:w="1247"/>
        <w:gridCol w:w="2919"/>
        <w:gridCol w:w="1720"/>
      </w:tblGrid>
      <w:tr>
        <w:trPr>
          <w:trHeight w:val="525"/>
        </w:trPr>
        <w:tc>
          <w:tcPr>
            <w:shd w:val="clear" w:color="auto" w:fill="auto"/>
            <w:tcW w:w="452" w:type="pct"/>
            <w:vAlign w:val="center"/>
            <w:vMerge w:val="restart"/>
            <w:textDirection w:val="lrTb"/>
            <w:noWrap/>
          </w:tcPr>
          <w:p>
            <w:pPr>
              <w:ind w:left="-111" w:right="-88" w:firstLine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</w:t>
            </w:r>
            <w:r/>
          </w:p>
        </w:tc>
        <w:tc>
          <w:tcPr>
            <w:shd w:val="clear" w:color="auto" w:fill="auto"/>
            <w:tcW w:w="732" w:type="pct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Подраздел</w:t>
            </w:r>
            <w:r/>
          </w:p>
        </w:tc>
        <w:tc>
          <w:tcPr>
            <w:shd w:val="clear" w:color="auto" w:fill="auto"/>
            <w:tcW w:w="76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Целевая статья</w:t>
            </w:r>
            <w:r/>
          </w:p>
        </w:tc>
        <w:tc>
          <w:tcPr>
            <w:shd w:val="clear" w:color="auto" w:fill="auto"/>
            <w:tcW w:w="64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 расхода</w:t>
            </w:r>
            <w:r/>
          </w:p>
        </w:tc>
        <w:tc>
          <w:tcPr>
            <w:shd w:val="clear" w:color="auto" w:fill="auto"/>
            <w:tcW w:w="151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показателя</w:t>
            </w:r>
            <w:r/>
          </w:p>
        </w:tc>
        <w:tc>
          <w:tcPr>
            <w:shd w:val="clear" w:color="auto" w:fill="auto"/>
            <w:tcW w:w="89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W w:w="45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/>
          </w:p>
        </w:tc>
        <w:tc>
          <w:tcPr>
            <w:shd w:val="clear" w:color="auto" w:fill="auto"/>
            <w:tcW w:w="73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/>
          </w:p>
        </w:tc>
        <w:tc>
          <w:tcPr>
            <w:shd w:val="clear" w:color="auto" w:fill="auto"/>
            <w:tcW w:w="76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</w:t>
            </w:r>
            <w:r/>
          </w:p>
        </w:tc>
        <w:tc>
          <w:tcPr>
            <w:shd w:val="clear" w:color="auto" w:fill="auto"/>
            <w:tcW w:w="6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</w:t>
            </w:r>
            <w:r/>
          </w:p>
        </w:tc>
        <w:tc>
          <w:tcPr>
            <w:shd w:val="clear" w:color="auto" w:fill="auto"/>
            <w:tcW w:w="151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</w:t>
            </w:r>
            <w:r/>
          </w:p>
        </w:tc>
        <w:tc>
          <w:tcPr>
            <w:shd w:val="clear" w:color="auto" w:fill="auto"/>
            <w:tcW w:w="89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/>
          </w:p>
        </w:tc>
      </w:tr>
      <w:tr>
        <w:trPr>
          <w:trHeight w:val="312"/>
        </w:trPr>
        <w:tc>
          <w:tcPr>
            <w:shd w:val="clear" w:color="000000" w:fill="ffffff"/>
            <w:tcW w:w="45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05</w:t>
            </w:r>
            <w:r/>
          </w:p>
        </w:tc>
        <w:tc>
          <w:tcPr>
            <w:gridSpan w:val="4"/>
            <w:shd w:val="clear" w:color="000000" w:fill="ffffff"/>
            <w:tcW w:w="3656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Жилищно-коммунальное хозяйство</w:t>
            </w:r>
            <w:r/>
          </w:p>
        </w:tc>
        <w:tc>
          <w:tcPr>
            <w:shd w:val="clear" w:color="000000" w:fill="ffffff"/>
            <w:tcW w:w="89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1 016 606,80</w:t>
            </w:r>
            <w:r/>
          </w:p>
        </w:tc>
      </w:tr>
      <w:tr>
        <w:trPr>
          <w:trHeight w:val="1872"/>
        </w:trPr>
        <w:tc>
          <w:tcPr>
            <w:shd w:val="clear" w:color="000000" w:fill="ffffff"/>
            <w:tcW w:w="45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shd w:val="clear" w:color="000000" w:fill="ffffff"/>
            <w:tcW w:w="73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shd w:val="clear" w:color="auto" w:fill="auto"/>
            <w:tcW w:w="763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9990020540</w:t>
            </w:r>
            <w:r/>
          </w:p>
        </w:tc>
        <w:tc>
          <w:tcPr>
            <w:shd w:val="clear" w:color="000000" w:fill="ffffff"/>
            <w:tcW w:w="647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244</w:t>
            </w:r>
            <w:r/>
          </w:p>
        </w:tc>
        <w:tc>
          <w:tcPr>
            <w:shd w:val="clear" w:color="000000" w:fill="ffffff"/>
            <w:tcW w:w="151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Управление капитального строительства и архитектуры администрации Грайворонского муниципального округа</w:t>
            </w:r>
            <w:r/>
          </w:p>
        </w:tc>
        <w:tc>
          <w:tcPr>
            <w:shd w:val="clear" w:color="000000" w:fill="ffffff"/>
            <w:tcW w:w="89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1 016 606,80</w:t>
            </w:r>
            <w:r/>
          </w:p>
        </w:tc>
      </w:tr>
      <w:tr>
        <w:trPr>
          <w:trHeight w:val="312"/>
        </w:trPr>
        <w:tc>
          <w:tcPr>
            <w:shd w:val="clear" w:color="000000" w:fill="ffffff"/>
            <w:tcW w:w="45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07</w:t>
            </w:r>
            <w:r/>
          </w:p>
        </w:tc>
        <w:tc>
          <w:tcPr>
            <w:gridSpan w:val="4"/>
            <w:shd w:val="clear" w:color="000000" w:fill="ffffff"/>
            <w:tcW w:w="3656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Образование</w:t>
            </w:r>
            <w:r/>
          </w:p>
        </w:tc>
        <w:tc>
          <w:tcPr>
            <w:shd w:val="clear" w:color="000000" w:fill="ffffff"/>
            <w:tcW w:w="89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8 000,00</w:t>
            </w:r>
            <w:r/>
          </w:p>
        </w:tc>
      </w:tr>
      <w:tr>
        <w:trPr>
          <w:trHeight w:val="1248"/>
        </w:trPr>
        <w:tc>
          <w:tcPr>
            <w:shd w:val="clear" w:color="000000" w:fill="ffffff"/>
            <w:tcW w:w="45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shd w:val="clear" w:color="000000" w:fill="ffffff"/>
            <w:tcW w:w="73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shd w:val="clear" w:color="auto" w:fill="auto"/>
            <w:tcW w:w="763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9990020540</w:t>
            </w:r>
            <w:r/>
          </w:p>
        </w:tc>
        <w:tc>
          <w:tcPr>
            <w:shd w:val="clear" w:color="000000" w:fill="ffffff"/>
            <w:tcW w:w="647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340</w:t>
            </w:r>
            <w:r/>
          </w:p>
        </w:tc>
        <w:tc>
          <w:tcPr>
            <w:shd w:val="clear" w:color="000000" w:fill="ffffff"/>
            <w:tcW w:w="151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Управление образования администрации Грайворонского муниципального округа</w:t>
            </w:r>
            <w:r/>
          </w:p>
        </w:tc>
        <w:tc>
          <w:tcPr>
            <w:shd w:val="clear" w:color="000000" w:fill="ffffff"/>
            <w:tcW w:w="89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8 000,00</w:t>
            </w:r>
            <w:r/>
          </w:p>
        </w:tc>
      </w:tr>
      <w:tr>
        <w:trPr>
          <w:trHeight w:val="312"/>
        </w:trPr>
        <w:tc>
          <w:tcPr>
            <w:shd w:val="clear" w:color="auto" w:fill="auto"/>
            <w:tcW w:w="45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</w:t>
            </w:r>
            <w:r/>
          </w:p>
        </w:tc>
        <w:tc>
          <w:tcPr>
            <w:gridSpan w:val="4"/>
            <w:shd w:val="clear" w:color="auto" w:fill="auto"/>
            <w:tcW w:w="3656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Социальная политика</w:t>
            </w:r>
            <w:r/>
          </w:p>
        </w:tc>
        <w:tc>
          <w:tcPr>
            <w:shd w:val="clear" w:color="000000" w:fill="ffffff"/>
            <w:tcW w:w="89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1 852 600,00</w:t>
            </w:r>
            <w:r/>
          </w:p>
        </w:tc>
      </w:tr>
      <w:tr>
        <w:trPr>
          <w:trHeight w:val="1335"/>
        </w:trPr>
        <w:tc>
          <w:tcPr>
            <w:shd w:val="clear" w:color="auto" w:fill="auto"/>
            <w:tcW w:w="45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shd w:val="clear" w:color="auto" w:fill="auto"/>
            <w:tcW w:w="73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shd w:val="clear" w:color="auto" w:fill="auto"/>
            <w:tcW w:w="763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9990020540</w:t>
            </w:r>
            <w:r/>
          </w:p>
        </w:tc>
        <w:tc>
          <w:tcPr>
            <w:shd w:val="clear" w:color="auto" w:fill="auto"/>
            <w:tcW w:w="647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321</w:t>
            </w:r>
            <w:r/>
          </w:p>
        </w:tc>
        <w:tc>
          <w:tcPr>
            <w:shd w:val="clear" w:color="auto" w:fill="auto"/>
            <w:tcW w:w="151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Администрация Грайворонского муниципального округа</w:t>
            </w:r>
            <w:r/>
          </w:p>
        </w:tc>
        <w:tc>
          <w:tcPr>
            <w:shd w:val="clear" w:color="000000" w:fill="ffffff"/>
            <w:tcW w:w="89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1 750 000,00</w:t>
            </w:r>
            <w:r/>
          </w:p>
        </w:tc>
      </w:tr>
      <w:tr>
        <w:trPr>
          <w:trHeight w:val="1668"/>
        </w:trPr>
        <w:tc>
          <w:tcPr>
            <w:shd w:val="clear" w:color="auto" w:fill="auto"/>
            <w:tcW w:w="45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shd w:val="clear" w:color="auto" w:fill="auto"/>
            <w:tcW w:w="73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shd w:val="clear" w:color="auto" w:fill="auto"/>
            <w:tcW w:w="763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9990020540</w:t>
            </w:r>
            <w:r/>
          </w:p>
        </w:tc>
        <w:tc>
          <w:tcPr>
            <w:shd w:val="clear" w:color="auto" w:fill="auto"/>
            <w:tcW w:w="647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323</w:t>
            </w:r>
            <w:r/>
          </w:p>
        </w:tc>
        <w:tc>
          <w:tcPr>
            <w:shd w:val="clear" w:color="auto" w:fill="auto"/>
            <w:tcW w:w="151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Управление социальной защиты населения администрации Грайворонского муниципального округа</w:t>
            </w:r>
            <w:r/>
          </w:p>
        </w:tc>
        <w:tc>
          <w:tcPr>
            <w:shd w:val="clear" w:color="000000" w:fill="ffffff"/>
            <w:tcW w:w="892" w:type="pct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102 600,00</w:t>
            </w:r>
            <w:r/>
          </w:p>
        </w:tc>
      </w:tr>
      <w:tr>
        <w:trPr>
          <w:trHeight w:val="540"/>
        </w:trPr>
        <w:tc>
          <w:tcPr>
            <w:shd w:val="clear" w:color="auto" w:fill="auto"/>
            <w:tcW w:w="45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shd w:val="clear" w:color="auto" w:fill="auto"/>
            <w:tcW w:w="73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shd w:val="clear" w:color="auto" w:fill="auto"/>
            <w:tcW w:w="76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shd w:val="clear" w:color="auto" w:fill="auto"/>
            <w:tcW w:w="647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shd w:val="clear" w:color="auto" w:fill="auto"/>
            <w:tcW w:w="151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/>
          </w:p>
        </w:tc>
        <w:tc>
          <w:tcPr>
            <w:shd w:val="clear" w:color="auto" w:fill="auto"/>
            <w:tcW w:w="89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2 877 206,80</w:t>
            </w:r>
            <w:r/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64317499"/>
      <w:docPartObj>
        <w:docPartGallery w:val="Page Numbers (Top of Page)"/>
        <w:docPartUnique w:val="true"/>
      </w:docPartObj>
      <w:rPr/>
    </w:sdtPr>
    <w:sdtContent>
      <w:p>
        <w:pPr>
          <w:pStyle w:val="69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10</w:t>
        </w:r>
        <w:r>
          <w:fldChar w:fldCharType="end"/>
        </w:r>
        <w:r/>
      </w:p>
    </w:sdtContent>
  </w:sdt>
  <w:p>
    <w:pPr>
      <w:pStyle w:val="69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5" w:hanging="360"/>
        <w:tabs>
          <w:tab w:val="num" w:pos="1495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  <w:tabs>
          <w:tab w:val="num" w:pos="221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  <w:tabs>
          <w:tab w:val="num" w:pos="293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  <w:tabs>
          <w:tab w:val="num" w:pos="365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  <w:tabs>
          <w:tab w:val="num" w:pos="437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  <w:tabs>
          <w:tab w:val="num" w:pos="509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  <w:tabs>
          <w:tab w:val="num" w:pos="581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  <w:tabs>
          <w:tab w:val="num" w:pos="653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  <w:tabs>
          <w:tab w:val="num" w:pos="7255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4" w:hanging="122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6" w:hanging="12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8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7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4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13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9"/>
    <w:next w:val="66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9"/>
    <w:next w:val="66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9"/>
    <w:next w:val="66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9"/>
    <w:next w:val="66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9"/>
    <w:next w:val="66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9"/>
    <w:next w:val="66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9"/>
    <w:next w:val="66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9"/>
    <w:next w:val="66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9"/>
    <w:next w:val="66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9"/>
    <w:next w:val="66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0"/>
    <w:link w:val="34"/>
    <w:uiPriority w:val="10"/>
    <w:rPr>
      <w:sz w:val="48"/>
      <w:szCs w:val="48"/>
    </w:rPr>
  </w:style>
  <w:style w:type="paragraph" w:styleId="36">
    <w:name w:val="Subtitle"/>
    <w:basedOn w:val="669"/>
    <w:next w:val="66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0"/>
    <w:link w:val="36"/>
    <w:uiPriority w:val="11"/>
    <w:rPr>
      <w:sz w:val="24"/>
      <w:szCs w:val="24"/>
    </w:rPr>
  </w:style>
  <w:style w:type="paragraph" w:styleId="38">
    <w:name w:val="Quote"/>
    <w:basedOn w:val="669"/>
    <w:next w:val="66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9"/>
    <w:next w:val="66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0"/>
    <w:link w:val="691"/>
    <w:uiPriority w:val="99"/>
  </w:style>
  <w:style w:type="character" w:styleId="45">
    <w:name w:val="Footer Char"/>
    <w:basedOn w:val="670"/>
    <w:link w:val="693"/>
    <w:uiPriority w:val="99"/>
  </w:style>
  <w:style w:type="paragraph" w:styleId="46">
    <w:name w:val="Caption"/>
    <w:basedOn w:val="669"/>
    <w:next w:val="6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3"/>
    <w:uiPriority w:val="99"/>
  </w:style>
  <w:style w:type="table" w:styleId="49">
    <w:name w:val="Table Grid Light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0"/>
    <w:uiPriority w:val="99"/>
    <w:unhideWhenUsed/>
    <w:rPr>
      <w:vertAlign w:val="superscript"/>
    </w:rPr>
  </w:style>
  <w:style w:type="paragraph" w:styleId="178">
    <w:name w:val="endnote text"/>
    <w:basedOn w:val="66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0"/>
    <w:uiPriority w:val="99"/>
    <w:semiHidden/>
    <w:unhideWhenUsed/>
    <w:rPr>
      <w:vertAlign w:val="superscript"/>
    </w:rPr>
  </w:style>
  <w:style w:type="paragraph" w:styleId="181">
    <w:name w:val="toc 1"/>
    <w:basedOn w:val="669"/>
    <w:next w:val="66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9"/>
    <w:next w:val="66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9"/>
    <w:next w:val="66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9"/>
    <w:next w:val="66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9"/>
    <w:next w:val="66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9"/>
    <w:next w:val="66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9"/>
    <w:next w:val="66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9"/>
    <w:next w:val="66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9"/>
    <w:next w:val="66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9"/>
    <w:next w:val="669"/>
    <w:uiPriority w:val="99"/>
    <w:unhideWhenUsed/>
    <w:pPr>
      <w:spacing w:after="0" w:afterAutospacing="0"/>
    </w:pPr>
  </w:style>
  <w:style w:type="paragraph" w:styleId="669" w:default="1">
    <w:name w:val="Normal"/>
    <w:qFormat/>
    <w:rPr>
      <w:rFonts w:ascii="Times New Roman" w:hAnsi="Times New Roman" w:cs="Times New Roman"/>
      <w:sz w:val="24"/>
      <w:szCs w:val="24"/>
    </w:rPr>
  </w:style>
  <w:style w:type="character" w:styleId="670" w:default="1">
    <w:name w:val="Default Paragraph Font"/>
    <w:uiPriority w:val="1"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paragraph" w:styleId="673">
    <w:name w:val="Body Text"/>
    <w:basedOn w:val="669"/>
    <w:link w:val="674"/>
    <w:pPr>
      <w:spacing w:after="120"/>
    </w:pPr>
    <w:rPr>
      <w:sz w:val="20"/>
      <w:szCs w:val="20"/>
    </w:rPr>
  </w:style>
  <w:style w:type="character" w:styleId="674" w:customStyle="1">
    <w:name w:val="Основной текст Знак"/>
    <w:basedOn w:val="670"/>
    <w:link w:val="673"/>
    <w:rPr>
      <w:rFonts w:ascii="Times New Roman" w:hAnsi="Times New Roman" w:cs="Times New Roman"/>
    </w:rPr>
  </w:style>
  <w:style w:type="paragraph" w:styleId="675">
    <w:name w:val="Body Text Indent 2"/>
    <w:basedOn w:val="669"/>
    <w:link w:val="676"/>
    <w:pPr>
      <w:ind w:left="283"/>
      <w:spacing w:after="120" w:line="480" w:lineRule="auto"/>
    </w:pPr>
    <w:rPr>
      <w:sz w:val="20"/>
      <w:szCs w:val="20"/>
    </w:rPr>
  </w:style>
  <w:style w:type="character" w:styleId="676" w:customStyle="1">
    <w:name w:val="Основной текст с отступом 2 Знак"/>
    <w:basedOn w:val="670"/>
    <w:link w:val="675"/>
    <w:rPr>
      <w:rFonts w:ascii="Times New Roman" w:hAnsi="Times New Roman" w:cs="Times New Roman"/>
    </w:rPr>
  </w:style>
  <w:style w:type="paragraph" w:styleId="677">
    <w:name w:val="Balloon Text"/>
    <w:basedOn w:val="669"/>
    <w:link w:val="678"/>
    <w:uiPriority w:val="99"/>
    <w:semiHidden/>
    <w:unhideWhenUsed/>
    <w:rPr>
      <w:rFonts w:ascii="Tahoma" w:hAnsi="Tahoma" w:cs="Tahoma"/>
      <w:sz w:val="16"/>
      <w:szCs w:val="16"/>
    </w:rPr>
  </w:style>
  <w:style w:type="character" w:styleId="678" w:customStyle="1">
    <w:name w:val="Текст выноски Знак"/>
    <w:basedOn w:val="670"/>
    <w:link w:val="677"/>
    <w:uiPriority w:val="99"/>
    <w:semiHidden/>
    <w:rPr>
      <w:rFonts w:ascii="Tahoma" w:hAnsi="Tahoma" w:cs="Tahoma"/>
      <w:sz w:val="16"/>
      <w:szCs w:val="16"/>
    </w:rPr>
  </w:style>
  <w:style w:type="paragraph" w:styleId="679" w:customStyle="1">
    <w:name w:val="ConsPlusNormal"/>
    <w:uiPriority w:val="99"/>
    <w:pPr>
      <w:jc w:val="both"/>
      <w:widowControl w:val="off"/>
    </w:pPr>
    <w:rPr>
      <w:rFonts w:ascii="Arial" w:hAnsi="Arial" w:cs="Arial"/>
    </w:rPr>
  </w:style>
  <w:style w:type="paragraph" w:styleId="680">
    <w:name w:val="List Paragraph"/>
    <w:basedOn w:val="669"/>
    <w:uiPriority w:val="34"/>
    <w:qFormat/>
    <w:pPr>
      <w:contextualSpacing/>
      <w:ind w:left="720"/>
    </w:pPr>
  </w:style>
  <w:style w:type="paragraph" w:styleId="681">
    <w:name w:val="Normal (Web)"/>
    <w:basedOn w:val="669"/>
    <w:uiPriority w:val="99"/>
    <w:unhideWhenUsed/>
    <w:pPr>
      <w:spacing w:before="100" w:beforeAutospacing="1" w:after="100" w:afterAutospacing="1"/>
    </w:pPr>
  </w:style>
  <w:style w:type="paragraph" w:styleId="682" w:customStyle="1">
    <w:name w:val="paragraph"/>
    <w:basedOn w:val="669"/>
    <w:pPr>
      <w:spacing w:before="100" w:beforeAutospacing="1" w:after="100" w:afterAutospacing="1"/>
    </w:pPr>
  </w:style>
  <w:style w:type="character" w:styleId="683" w:customStyle="1">
    <w:name w:val="normaltextrun"/>
    <w:basedOn w:val="670"/>
  </w:style>
  <w:style w:type="character" w:styleId="684" w:customStyle="1">
    <w:name w:val="scxw111914594"/>
    <w:basedOn w:val="670"/>
  </w:style>
  <w:style w:type="character" w:styleId="685" w:customStyle="1">
    <w:name w:val="eop"/>
    <w:basedOn w:val="670"/>
  </w:style>
  <w:style w:type="character" w:styleId="686" w:customStyle="1">
    <w:name w:val="tabchar"/>
    <w:basedOn w:val="670"/>
  </w:style>
  <w:style w:type="character" w:styleId="687" w:customStyle="1">
    <w:name w:val="spellingerror"/>
    <w:basedOn w:val="670"/>
  </w:style>
  <w:style w:type="character" w:styleId="688" w:customStyle="1">
    <w:name w:val="Основной текст (2)_"/>
    <w:basedOn w:val="670"/>
    <w:link w:val="689"/>
    <w:uiPriority w:val="99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689" w:customStyle="1">
    <w:name w:val="Основной текст (2)"/>
    <w:basedOn w:val="669"/>
    <w:link w:val="688"/>
    <w:uiPriority w:val="9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690" w:customStyle="1">
    <w:name w:val="docdata"/>
    <w:basedOn w:val="669"/>
    <w:pPr>
      <w:spacing w:before="100" w:beforeAutospacing="1" w:after="100" w:afterAutospacing="1"/>
    </w:pPr>
  </w:style>
  <w:style w:type="paragraph" w:styleId="691">
    <w:name w:val="Header"/>
    <w:basedOn w:val="669"/>
    <w:link w:val="6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2" w:customStyle="1">
    <w:name w:val="Верхний колонтитул Знак"/>
    <w:basedOn w:val="670"/>
    <w:link w:val="691"/>
    <w:uiPriority w:val="99"/>
    <w:rPr>
      <w:rFonts w:ascii="Times New Roman" w:hAnsi="Times New Roman" w:cs="Times New Roman"/>
      <w:sz w:val="24"/>
      <w:szCs w:val="24"/>
    </w:rPr>
  </w:style>
  <w:style w:type="paragraph" w:styleId="693">
    <w:name w:val="Footer"/>
    <w:basedOn w:val="669"/>
    <w:link w:val="69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94" w:customStyle="1">
    <w:name w:val="Нижний колонтитул Знак"/>
    <w:basedOn w:val="670"/>
    <w:link w:val="693"/>
    <w:uiPriority w:val="99"/>
    <w:semiHidden/>
    <w:rPr>
      <w:rFonts w:ascii="Times New Roman" w:hAnsi="Times New Roman" w:cs="Times New Roman"/>
      <w:sz w:val="24"/>
      <w:szCs w:val="24"/>
    </w:rPr>
  </w:style>
  <w:style w:type="table" w:styleId="695">
    <w:name w:val="Table Grid"/>
    <w:basedOn w:val="67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96" w:customStyle="1">
    <w:name w:val="Содержимое таблицы"/>
    <w:basedOn w:val="669"/>
    <w:pPr>
      <w:suppressLineNumbers/>
    </w:pPr>
    <w:rPr>
      <w:lang w:eastAsia="ar-SA"/>
    </w:rPr>
  </w:style>
  <w:style w:type="character" w:styleId="697" w:customStyle="1">
    <w:name w:val="1139"/>
    <w:basedOn w:val="67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5F13C-5D42-494B-AFAD-9DB86CFF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revision>214</cp:revision>
  <dcterms:created xsi:type="dcterms:W3CDTF">2021-08-19T11:08:00Z</dcterms:created>
  <dcterms:modified xsi:type="dcterms:W3CDTF">2026-07-30T06:52:53Z</dcterms:modified>
</cp:coreProperties>
</file>