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4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7477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44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44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  <w:r/>
    </w:p>
    <w:p>
      <w:pPr>
        <w:pStyle w:val="844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44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44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44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44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44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РАСПОРЯЖЕНИЕ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44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44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44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44"/>
        <w:jc w:val="both"/>
        <w:rPr>
          <w:sz w:val="22"/>
        </w:rPr>
      </w:pPr>
      <w:r>
        <w:rPr>
          <w:b/>
          <w:sz w:val="22"/>
          <w:szCs w:val="18"/>
        </w:rPr>
        <w:t xml:space="preserve">«_11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__марта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24_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_243-р_</w:t>
      </w:r>
      <w:r>
        <w:rPr>
          <w:sz w:val="22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>
        <w:trPr>
          <w:trHeight w:val="290"/>
        </w:trPr>
        <w:tc>
          <w:tcPr>
            <w:tcW w:w="7230" w:type="dxa"/>
            <w:textDirection w:val="lrTb"/>
            <w:noWrap w:val="false"/>
          </w:tcPr>
          <w:p>
            <w:pPr>
              <w:ind w:left="-111" w:right="-114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6"/>
                <w:szCs w:val="26"/>
              </w:rPr>
              <w:t xml:space="preserve">О</w:t>
            </w:r>
            <w:r>
              <w:rPr>
                <w:b/>
                <w:sz w:val="26"/>
                <w:szCs w:val="26"/>
              </w:rPr>
              <w:t xml:space="preserve">б утверждении плана реализации в 2025-2027 годах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адресной программы проведения капитального ремонта общего имущества в многоквартирных домах 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 xml:space="preserve">в Грайво</w:t>
            </w:r>
            <w:r>
              <w:rPr>
                <w:b/>
                <w:sz w:val="26"/>
                <w:szCs w:val="26"/>
              </w:rPr>
              <w:t xml:space="preserve">ронском городском округе на 2022-2051</w:t>
            </w:r>
            <w:r>
              <w:rPr>
                <w:b/>
                <w:sz w:val="26"/>
                <w:szCs w:val="26"/>
              </w:rPr>
              <w:t xml:space="preserve"> годы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7 статьи 168 Жилищного кодекса Российской Федерации, а также Порядком разработки краткосрочных планов реализации адресной программы проведения капитального ремонта общего имущества </w:t>
      </w:r>
      <w:r>
        <w:rPr>
          <w:sz w:val="26"/>
          <w:szCs w:val="26"/>
        </w:rPr>
        <w:br/>
        <w:t xml:space="preserve">в многокварти</w:t>
      </w:r>
      <w:r>
        <w:rPr>
          <w:sz w:val="26"/>
          <w:szCs w:val="26"/>
        </w:rPr>
        <w:t xml:space="preserve">рных домах в Белгородской области на 2019-2048 годы, утвержденным постановлением Правительства Белгородской области от 17 марта 2014 года № 92-пп, в целях реализации адресной программы проведения капитального ремонта общего имущества в многоквартирных дома</w:t>
      </w:r>
      <w:r>
        <w:rPr>
          <w:sz w:val="26"/>
          <w:szCs w:val="26"/>
        </w:rPr>
        <w:t xml:space="preserve">х в Белгородской</w:t>
      </w:r>
      <w:r>
        <w:rPr>
          <w:sz w:val="26"/>
          <w:szCs w:val="26"/>
        </w:rPr>
        <w:t xml:space="preserve"> области на 2022-2051</w:t>
      </w:r>
      <w:r>
        <w:rPr>
          <w:sz w:val="26"/>
          <w:szCs w:val="26"/>
        </w:rPr>
        <w:t xml:space="preserve"> годы, утвержденной постановлением Правительства Белгородской области от 19 августа 2013 года № 345-пп</w:t>
      </w:r>
      <w:r>
        <w:rPr>
          <w:sz w:val="26"/>
          <w:szCs w:val="26"/>
        </w:rPr>
        <w:t xml:space="preserve">, уточнения планируемых видов услуг и 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или) работ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ремонта:</w:t>
      </w:r>
      <w:r/>
    </w:p>
    <w:p>
      <w:pPr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Утвердить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 реализации </w:t>
      </w:r>
      <w:r>
        <w:rPr>
          <w:sz w:val="26"/>
          <w:szCs w:val="26"/>
        </w:rPr>
        <w:t xml:space="preserve">в 2025-2027</w:t>
      </w:r>
      <w:r>
        <w:rPr>
          <w:sz w:val="26"/>
          <w:szCs w:val="26"/>
        </w:rPr>
        <w:t xml:space="preserve"> годах адресной программы проведения капитального ремонта общего имущества в многоквартирных домах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Грайво</w:t>
      </w:r>
      <w:r>
        <w:rPr>
          <w:sz w:val="26"/>
          <w:szCs w:val="26"/>
        </w:rPr>
        <w:t xml:space="preserve">ронском городском округе на 2022-2051</w:t>
      </w:r>
      <w:bookmarkStart w:id="0" w:name="_GoBack"/>
      <w:r/>
      <w:bookmarkEnd w:id="0"/>
      <w:r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br/>
        <w:t xml:space="preserve">к настоящему распоряжению (прилагается).</w:t>
      </w:r>
      <w:r/>
    </w:p>
    <w:p>
      <w:pPr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</w:t>
      </w:r>
      <w:r>
        <w:rPr>
          <w:sz w:val="26"/>
          <w:szCs w:val="26"/>
        </w:rPr>
        <w:tab/>
        <w:t xml:space="preserve">Опубликовать настоящее </w:t>
      </w:r>
      <w:r>
        <w:rPr>
          <w:sz w:val="26"/>
          <w:szCs w:val="26"/>
        </w:rPr>
        <w:t xml:space="preserve">распоряжение</w:t>
      </w:r>
      <w:r>
        <w:rPr>
          <w:sz w:val="26"/>
          <w:szCs w:val="26"/>
        </w:rPr>
        <w:t xml:space="preserve">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(grajvoron-r31.gosweb.gosuslugi.ru).</w:t>
      </w:r>
      <w:r/>
    </w:p>
    <w:p>
      <w:pPr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</w:t>
      </w:r>
      <w:r>
        <w:rPr>
          <w:sz w:val="26"/>
          <w:szCs w:val="26"/>
        </w:rPr>
        <w:t xml:space="preserve"> исполнением распоряжения возложить на заместителя главы администрации городского округа – начальника управления по строительству, транспорту, ЖКХ и ТЭК Р.Г. </w:t>
      </w:r>
      <w:r>
        <w:rPr>
          <w:sz w:val="26"/>
          <w:szCs w:val="26"/>
        </w:rPr>
        <w:t xml:space="preserve">Твердуна</w:t>
      </w:r>
      <w:r>
        <w:rPr>
          <w:sz w:val="26"/>
          <w:szCs w:val="26"/>
        </w:rPr>
        <w:t xml:space="preserve">. </w:t>
      </w:r>
      <w:r/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  <w:r/>
          </w:p>
        </w:tc>
      </w:tr>
    </w:tbl>
    <w:p>
      <w:pPr>
        <w:jc w:val="both"/>
        <w:tabs>
          <w:tab w:val="left" w:pos="1134" w:leader="none"/>
        </w:tabs>
        <w:rPr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284" w:right="567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/>
    </w:p>
    <w:tbl>
      <w:tblPr>
        <w:tblW w:w="0" w:type="auto"/>
        <w:tblCellSpacing w:w="0" w:type="dxa"/>
        <w:tblInd w:w="9479" w:type="dxa"/>
        <w:tblLayout w:type="fixed"/>
        <w:tblLook w:val="04A0" w:firstRow="1" w:lastRow="0" w:firstColumn="1" w:lastColumn="0" w:noHBand="0" w:noVBand="1"/>
      </w:tblPr>
      <w:tblGrid>
        <w:gridCol w:w="5494"/>
        <w:gridCol w:w="70"/>
      </w:tblGrid>
      <w:tr>
        <w:trPr>
          <w:tblCellSpacing w:w="0" w:type="dxa"/>
        </w:trPr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распоряжени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ю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администрации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Грайворонского городского округа</w:t>
            </w:r>
            <w:r/>
          </w:p>
          <w:p>
            <w:pPr>
              <w:ind w:left="0" w:right="131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«_11_»  _марта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_2024_ г. 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№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_243-р_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</w:tbl>
    <w:p>
      <w:pPr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tabs>
          <w:tab w:val="left" w:pos="1134" w:leader="none"/>
        </w:tabs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ПЛАН </w:t>
      </w:r>
      <w:r/>
    </w:p>
    <w:p>
      <w:pPr>
        <w:jc w:val="center"/>
        <w:tabs>
          <w:tab w:val="left" w:pos="1134" w:leader="none"/>
        </w:tabs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реализации в 2025-2027 годах адресной программы проведения капитального ремонта общего имущества </w:t>
      </w:r>
      <w:r>
        <w:rPr>
          <w:b/>
          <w:sz w:val="28"/>
          <w:szCs w:val="26"/>
        </w:rPr>
        <w:br/>
      </w:r>
      <w:r>
        <w:rPr>
          <w:b/>
          <w:sz w:val="28"/>
          <w:szCs w:val="26"/>
        </w:rPr>
        <w:t xml:space="preserve">в многоквартирных домах в Грайворонском городском округе на 2022-2051 годы</w:t>
      </w:r>
      <w:r/>
    </w:p>
    <w:p>
      <w:pPr>
        <w:jc w:val="center"/>
        <w:tabs>
          <w:tab w:val="left" w:pos="1134" w:leader="none"/>
        </w:tabs>
        <w:rPr>
          <w:b/>
          <w:sz w:val="28"/>
          <w:szCs w:val="26"/>
        </w:rPr>
      </w:pPr>
      <w:r>
        <w:rPr>
          <w:b/>
          <w:sz w:val="28"/>
          <w:szCs w:val="26"/>
        </w:rPr>
      </w:r>
      <w:r/>
    </w:p>
    <w:p>
      <w:pPr>
        <w:jc w:val="center"/>
        <w:tabs>
          <w:tab w:val="left" w:pos="113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Перечень многоквартирных домов, включенных в соответствии с жилищным законодательством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краткосрочный план </w:t>
      </w:r>
      <w:r>
        <w:rPr>
          <w:b/>
          <w:sz w:val="28"/>
          <w:szCs w:val="28"/>
        </w:rPr>
        <w:t xml:space="preserve">реализации адресной программы проведения капитального ремонта общего имущества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многоквартирных домах в Грайворонском городском округе на 2025-2027 годы</w:t>
      </w:r>
      <w:r/>
    </w:p>
    <w:p>
      <w:pPr>
        <w:jc w:val="center"/>
        <w:tabs>
          <w:tab w:val="left" w:pos="113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204" w:type="dxa"/>
        <w:tblInd w:w="98" w:type="dxa"/>
        <w:tblLook w:val="04A0" w:firstRow="1" w:lastRow="0" w:firstColumn="1" w:lastColumn="0" w:noHBand="0" w:noVBand="1"/>
      </w:tblPr>
      <w:tblGrid>
        <w:gridCol w:w="435"/>
        <w:gridCol w:w="435"/>
        <w:gridCol w:w="1140"/>
        <w:gridCol w:w="576"/>
        <w:gridCol w:w="576"/>
        <w:gridCol w:w="1485"/>
        <w:gridCol w:w="531"/>
        <w:gridCol w:w="531"/>
        <w:gridCol w:w="1345"/>
        <w:gridCol w:w="711"/>
        <w:gridCol w:w="711"/>
        <w:gridCol w:w="693"/>
        <w:gridCol w:w="711"/>
        <w:gridCol w:w="586"/>
        <w:gridCol w:w="542"/>
        <w:gridCol w:w="542"/>
        <w:gridCol w:w="711"/>
        <w:gridCol w:w="1005"/>
        <w:gridCol w:w="938"/>
      </w:tblGrid>
      <w:tr>
        <w:trPr>
          <w:trHeight w:val="357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" w:type="dxa"/>
            <w:vAlign w:val="center"/>
            <w:vMerge w:val="restart"/>
            <w:textDirection w:val="btLr"/>
            <w:noWrap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п\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по району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Адрес многоквартирного дома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5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Год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5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Материал стен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Количество этажей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Количество подъездов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5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Способ формирования фонда капитального ремонта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Общая площадь МКД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Суммарная площадь жилых и нежилых помещений МКД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Количество жителей, зарегистрированных в МКД на дату утверждения программы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0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Стоимость капитального ремонта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Вид капитального ремонта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Плановая дата завершения работ</w:t>
            </w:r>
            <w:r/>
          </w:p>
        </w:tc>
      </w:tr>
      <w:tr>
        <w:trPr>
          <w:trHeight w:val="342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вода в эксплуатацию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роведение последнего капитального ремонта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сего: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8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cantSplit/>
          <w:trHeight w:val="2577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 счет средств Государственной корпорации - Фонда содействия реформированию ЖКХ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а счет бюджета Белгородской области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а счет средств 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а счет средств собственников помещений в МКД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42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.м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.м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руб.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руб.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руб.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руб.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57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3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8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9</w:t>
            </w:r>
            <w:r>
              <w:rPr>
                <w:b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</w:t>
            </w:r>
            <w:r/>
          </w:p>
        </w:tc>
      </w:tr>
      <w:tr>
        <w:trPr>
          <w:trHeight w:val="459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0" w:type="dxa"/>
            <w:vAlign w:val="center"/>
            <w:textDirection w:val="lrTb"/>
            <w:noWrap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Грайворонский городской округ на 2025 год: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8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2 980,20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1 873,60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61,00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6 480 445,47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6 480 445,47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</w:tr>
      <w:tr>
        <w:trPr>
          <w:trHeight w:val="474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3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Грайворон </w:t>
            </w:r>
            <w:r>
              <w:rPr>
                <w:color w:val="000000"/>
                <w:sz w:val="18"/>
                <w:szCs w:val="18"/>
              </w:rPr>
              <w:t xml:space="preserve">г</w:t>
            </w:r>
            <w:r>
              <w:rPr>
                <w:color w:val="000000"/>
                <w:sz w:val="18"/>
                <w:szCs w:val="18"/>
              </w:rPr>
              <w:t xml:space="preserve">, Кирова ул</w:t>
            </w:r>
            <w:r>
              <w:rPr>
                <w:color w:val="000000"/>
                <w:sz w:val="18"/>
                <w:szCs w:val="18"/>
              </w:rPr>
              <w:t xml:space="preserve">.</w:t>
            </w:r>
            <w:r>
              <w:rPr>
                <w:color w:val="000000"/>
                <w:sz w:val="18"/>
                <w:szCs w:val="18"/>
              </w:rPr>
              <w:t xml:space="preserve">, 34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8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Панели железобетонные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Счёт регионального оператора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2 980,20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1 873,60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6 480 445,47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6 480 445,47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Плановый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2025</w:t>
            </w:r>
            <w:r/>
          </w:p>
        </w:tc>
      </w:tr>
      <w:tr>
        <w:trPr>
          <w:trHeight w:val="474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0" w:type="dxa"/>
            <w:vAlign w:val="center"/>
            <w:textDirection w:val="lrTb"/>
            <w:noWrap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Грайворонский городской округ на 2026 год: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8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1 810,59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1 249,59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6 424 892,91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6 424 892,91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</w:tr>
      <w:tr>
        <w:trPr>
          <w:trHeight w:val="474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3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Грайворон </w:t>
            </w:r>
            <w:r>
              <w:rPr>
                <w:color w:val="000000"/>
                <w:sz w:val="18"/>
                <w:szCs w:val="18"/>
              </w:rPr>
              <w:t xml:space="preserve">г</w:t>
            </w:r>
            <w:r>
              <w:rPr>
                <w:color w:val="000000"/>
                <w:sz w:val="18"/>
                <w:szCs w:val="18"/>
              </w:rPr>
              <w:t xml:space="preserve">, Кирова ул</w:t>
            </w:r>
            <w:r>
              <w:rPr>
                <w:color w:val="000000"/>
                <w:sz w:val="18"/>
                <w:szCs w:val="18"/>
              </w:rPr>
              <w:t xml:space="preserve">.</w:t>
            </w:r>
            <w:r>
              <w:rPr>
                <w:color w:val="000000"/>
                <w:sz w:val="18"/>
                <w:szCs w:val="18"/>
              </w:rPr>
              <w:t xml:space="preserve">, 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8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Панели железобетонные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Счёт регионального оператора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1 810,59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1 249,59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6 424 892,91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6 424 892,91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Плановый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2026</w:t>
            </w:r>
            <w:r/>
          </w:p>
        </w:tc>
      </w:tr>
      <w:tr>
        <w:trPr>
          <w:trHeight w:val="459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0" w:type="dxa"/>
            <w:vAlign w:val="center"/>
            <w:textDirection w:val="lrTb"/>
            <w:noWrap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Грайворонский городской округ на 2027 год: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8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2 836,21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11 876,60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5 451 728,76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5 451 728,76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3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43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Грайворон </w:t>
            </w:r>
            <w:r>
              <w:rPr>
                <w:color w:val="000000"/>
                <w:sz w:val="18"/>
                <w:szCs w:val="18"/>
              </w:rPr>
              <w:t xml:space="preserve">г</w:t>
            </w:r>
            <w:r>
              <w:rPr>
                <w:color w:val="000000"/>
                <w:sz w:val="18"/>
                <w:szCs w:val="18"/>
              </w:rPr>
              <w:t xml:space="preserve">, Мира ул</w:t>
            </w:r>
            <w:r>
              <w:rPr>
                <w:color w:val="000000"/>
                <w:sz w:val="18"/>
                <w:szCs w:val="18"/>
              </w:rPr>
              <w:t xml:space="preserve">.</w:t>
            </w:r>
            <w:r>
              <w:rPr>
                <w:color w:val="000000"/>
                <w:sz w:val="18"/>
                <w:szCs w:val="18"/>
              </w:rPr>
              <w:t xml:space="preserve">, 42А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Кирпич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3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Счёт регионального оператора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2 836,21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2 318,00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2 378 163,69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8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2 378 163,69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00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Плановый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93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2027</w:t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Грайворон </w:t>
            </w:r>
            <w:r>
              <w:rPr>
                <w:color w:val="000000"/>
                <w:sz w:val="18"/>
                <w:szCs w:val="18"/>
              </w:rPr>
              <w:t xml:space="preserve">г</w:t>
            </w:r>
            <w:r>
              <w:rPr>
                <w:color w:val="000000"/>
                <w:sz w:val="18"/>
                <w:szCs w:val="18"/>
              </w:rPr>
              <w:t xml:space="preserve">, Мира </w:t>
            </w:r>
            <w:r>
              <w:rPr>
                <w:color w:val="000000"/>
                <w:sz w:val="18"/>
                <w:szCs w:val="18"/>
              </w:rPr>
              <w:t xml:space="preserve">ул., </w:t>
            </w:r>
            <w:r>
              <w:rPr>
                <w:color w:val="000000"/>
                <w:sz w:val="18"/>
                <w:szCs w:val="18"/>
              </w:rPr>
              <w:t xml:space="preserve">44А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Кирпич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Счёт регионального оператора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4 778,3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2 540,10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3 073 565,07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3 073 565,07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2027</w:t>
            </w:r>
            <w:r/>
          </w:p>
        </w:tc>
      </w:tr>
    </w:tbl>
    <w:p>
      <w:pPr>
        <w:jc w:val="center"/>
        <w:tabs>
          <w:tab w:val="left" w:pos="113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701" w:right="1134" w:bottom="567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35926488"/>
      <w:docPartObj>
        <w:docPartGallery w:val="Page Numbers (Top of Page)"/>
        <w:docPartUnique w:val="true"/>
      </w:docPartObj>
      <w:rPr/>
    </w:sdtPr>
    <w:sdtContent>
      <w:p>
        <w:pPr>
          <w:pStyle w:val="86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8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78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5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2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94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6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3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10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846"/>
    <w:link w:val="845"/>
    <w:uiPriority w:val="9"/>
    <w:rPr>
      <w:rFonts w:ascii="Arial" w:hAnsi="Arial" w:cs="Arial" w:eastAsia="Arial"/>
      <w:sz w:val="40"/>
      <w:szCs w:val="40"/>
    </w:rPr>
  </w:style>
  <w:style w:type="paragraph" w:styleId="671">
    <w:name w:val="Heading 2"/>
    <w:basedOn w:val="844"/>
    <w:next w:val="844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2">
    <w:name w:val="Heading 2 Char"/>
    <w:basedOn w:val="846"/>
    <w:link w:val="671"/>
    <w:uiPriority w:val="9"/>
    <w:rPr>
      <w:rFonts w:ascii="Arial" w:hAnsi="Arial" w:cs="Arial" w:eastAsia="Arial"/>
      <w:sz w:val="34"/>
    </w:rPr>
  </w:style>
  <w:style w:type="paragraph" w:styleId="673">
    <w:name w:val="Heading 3"/>
    <w:basedOn w:val="844"/>
    <w:next w:val="844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4">
    <w:name w:val="Heading 3 Char"/>
    <w:basedOn w:val="846"/>
    <w:link w:val="673"/>
    <w:uiPriority w:val="9"/>
    <w:rPr>
      <w:rFonts w:ascii="Arial" w:hAnsi="Arial" w:cs="Arial" w:eastAsia="Arial"/>
      <w:sz w:val="30"/>
      <w:szCs w:val="30"/>
    </w:rPr>
  </w:style>
  <w:style w:type="paragraph" w:styleId="675">
    <w:name w:val="Heading 4"/>
    <w:basedOn w:val="844"/>
    <w:next w:val="844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6">
    <w:name w:val="Heading 4 Char"/>
    <w:basedOn w:val="846"/>
    <w:link w:val="675"/>
    <w:uiPriority w:val="9"/>
    <w:rPr>
      <w:rFonts w:ascii="Arial" w:hAnsi="Arial" w:cs="Arial" w:eastAsia="Arial"/>
      <w:b/>
      <w:bCs/>
      <w:sz w:val="26"/>
      <w:szCs w:val="26"/>
    </w:rPr>
  </w:style>
  <w:style w:type="paragraph" w:styleId="677">
    <w:name w:val="Heading 5"/>
    <w:basedOn w:val="844"/>
    <w:next w:val="844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8">
    <w:name w:val="Heading 5 Char"/>
    <w:basedOn w:val="846"/>
    <w:link w:val="677"/>
    <w:uiPriority w:val="9"/>
    <w:rPr>
      <w:rFonts w:ascii="Arial" w:hAnsi="Arial" w:cs="Arial" w:eastAsia="Arial"/>
      <w:b/>
      <w:bCs/>
      <w:sz w:val="24"/>
      <w:szCs w:val="24"/>
    </w:rPr>
  </w:style>
  <w:style w:type="paragraph" w:styleId="679">
    <w:name w:val="Heading 6"/>
    <w:basedOn w:val="844"/>
    <w:next w:val="844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0">
    <w:name w:val="Heading 6 Char"/>
    <w:basedOn w:val="846"/>
    <w:link w:val="679"/>
    <w:uiPriority w:val="9"/>
    <w:rPr>
      <w:rFonts w:ascii="Arial" w:hAnsi="Arial" w:cs="Arial" w:eastAsia="Arial"/>
      <w:b/>
      <w:bCs/>
      <w:sz w:val="22"/>
      <w:szCs w:val="22"/>
    </w:rPr>
  </w:style>
  <w:style w:type="paragraph" w:styleId="681">
    <w:name w:val="Heading 7"/>
    <w:basedOn w:val="844"/>
    <w:next w:val="844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2">
    <w:name w:val="Heading 7 Char"/>
    <w:basedOn w:val="846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3">
    <w:name w:val="Heading 8"/>
    <w:basedOn w:val="844"/>
    <w:next w:val="844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4">
    <w:name w:val="Heading 8 Char"/>
    <w:basedOn w:val="846"/>
    <w:link w:val="683"/>
    <w:uiPriority w:val="9"/>
    <w:rPr>
      <w:rFonts w:ascii="Arial" w:hAnsi="Arial" w:cs="Arial" w:eastAsia="Arial"/>
      <w:i/>
      <w:iCs/>
      <w:sz w:val="22"/>
      <w:szCs w:val="22"/>
    </w:rPr>
  </w:style>
  <w:style w:type="paragraph" w:styleId="685">
    <w:name w:val="Heading 9"/>
    <w:basedOn w:val="844"/>
    <w:next w:val="844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6">
    <w:name w:val="Heading 9 Char"/>
    <w:basedOn w:val="846"/>
    <w:link w:val="685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No Spacing"/>
    <w:uiPriority w:val="1"/>
    <w:qFormat/>
    <w:pPr>
      <w:spacing w:before="0" w:after="0" w:line="240" w:lineRule="auto"/>
    </w:pPr>
  </w:style>
  <w:style w:type="paragraph" w:styleId="688">
    <w:name w:val="Title"/>
    <w:basedOn w:val="844"/>
    <w:next w:val="844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basedOn w:val="846"/>
    <w:link w:val="688"/>
    <w:uiPriority w:val="10"/>
    <w:rPr>
      <w:sz w:val="48"/>
      <w:szCs w:val="48"/>
    </w:rPr>
  </w:style>
  <w:style w:type="paragraph" w:styleId="690">
    <w:name w:val="Subtitle"/>
    <w:basedOn w:val="844"/>
    <w:next w:val="844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basedOn w:val="846"/>
    <w:link w:val="690"/>
    <w:uiPriority w:val="11"/>
    <w:rPr>
      <w:sz w:val="24"/>
      <w:szCs w:val="24"/>
    </w:rPr>
  </w:style>
  <w:style w:type="paragraph" w:styleId="692">
    <w:name w:val="Quote"/>
    <w:basedOn w:val="844"/>
    <w:next w:val="844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4"/>
    <w:next w:val="844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character" w:styleId="696">
    <w:name w:val="Header Char"/>
    <w:basedOn w:val="846"/>
    <w:link w:val="866"/>
    <w:uiPriority w:val="99"/>
  </w:style>
  <w:style w:type="character" w:styleId="697">
    <w:name w:val="Footer Char"/>
    <w:basedOn w:val="846"/>
    <w:link w:val="868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868"/>
    <w:uiPriority w:val="99"/>
  </w:style>
  <w:style w:type="table" w:styleId="700">
    <w:name w:val="Table Grid"/>
    <w:basedOn w:val="84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6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6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  <w:rPr>
      <w:rFonts w:ascii="Times New Roman" w:hAnsi="Times New Roman" w:cs="Times New Roman"/>
      <w:sz w:val="24"/>
      <w:szCs w:val="24"/>
    </w:rPr>
  </w:style>
  <w:style w:type="paragraph" w:styleId="845">
    <w:name w:val="Heading 1"/>
    <w:basedOn w:val="844"/>
    <w:next w:val="844"/>
    <w:link w:val="870"/>
    <w:qFormat/>
    <w:pPr>
      <w:ind w:firstLine="540"/>
      <w:jc w:val="both"/>
      <w:keepNext/>
      <w:outlineLvl w:val="0"/>
    </w:pPr>
    <w:rPr>
      <w:lang w:eastAsia="en-US"/>
    </w:rPr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paragraph" w:styleId="849">
    <w:name w:val="Body Text"/>
    <w:basedOn w:val="844"/>
    <w:link w:val="850"/>
    <w:pPr>
      <w:spacing w:after="120"/>
    </w:pPr>
    <w:rPr>
      <w:sz w:val="20"/>
      <w:szCs w:val="20"/>
    </w:rPr>
  </w:style>
  <w:style w:type="character" w:styleId="850" w:customStyle="1">
    <w:name w:val="Основной текст Знак"/>
    <w:basedOn w:val="846"/>
    <w:link w:val="849"/>
    <w:rPr>
      <w:rFonts w:ascii="Times New Roman" w:hAnsi="Times New Roman" w:cs="Times New Roman"/>
    </w:rPr>
  </w:style>
  <w:style w:type="paragraph" w:styleId="851">
    <w:name w:val="Body Text Indent 2"/>
    <w:basedOn w:val="844"/>
    <w:link w:val="852"/>
    <w:pPr>
      <w:ind w:left="283"/>
      <w:spacing w:after="120" w:line="480" w:lineRule="auto"/>
    </w:pPr>
    <w:rPr>
      <w:sz w:val="20"/>
      <w:szCs w:val="20"/>
    </w:rPr>
  </w:style>
  <w:style w:type="character" w:styleId="852" w:customStyle="1">
    <w:name w:val="Основной текст с отступом 2 Знак"/>
    <w:basedOn w:val="846"/>
    <w:link w:val="851"/>
    <w:rPr>
      <w:rFonts w:ascii="Times New Roman" w:hAnsi="Times New Roman" w:cs="Times New Roman"/>
    </w:rPr>
  </w:style>
  <w:style w:type="paragraph" w:styleId="853">
    <w:name w:val="Balloon Text"/>
    <w:basedOn w:val="844"/>
    <w:link w:val="854"/>
    <w:uiPriority w:val="99"/>
    <w:semiHidden/>
    <w:unhideWhenUsed/>
    <w:rPr>
      <w:rFonts w:ascii="Tahoma" w:hAnsi="Tahoma" w:cs="Tahoma"/>
      <w:sz w:val="16"/>
      <w:szCs w:val="16"/>
    </w:rPr>
  </w:style>
  <w:style w:type="character" w:styleId="854" w:customStyle="1">
    <w:name w:val="Текст выноски Знак"/>
    <w:basedOn w:val="846"/>
    <w:link w:val="853"/>
    <w:uiPriority w:val="99"/>
    <w:semiHidden/>
    <w:rPr>
      <w:rFonts w:ascii="Tahoma" w:hAnsi="Tahoma" w:cs="Tahoma"/>
      <w:sz w:val="16"/>
      <w:szCs w:val="16"/>
    </w:rPr>
  </w:style>
  <w:style w:type="paragraph" w:styleId="855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856">
    <w:name w:val="List Paragraph"/>
    <w:basedOn w:val="844"/>
    <w:uiPriority w:val="34"/>
    <w:qFormat/>
    <w:pPr>
      <w:contextualSpacing/>
      <w:ind w:left="720"/>
    </w:pPr>
  </w:style>
  <w:style w:type="paragraph" w:styleId="857">
    <w:name w:val="Normal (Web)"/>
    <w:basedOn w:val="844"/>
    <w:uiPriority w:val="99"/>
    <w:unhideWhenUsed/>
    <w:pPr>
      <w:spacing w:before="100" w:beforeAutospacing="1" w:after="100" w:afterAutospacing="1"/>
    </w:pPr>
  </w:style>
  <w:style w:type="paragraph" w:styleId="858" w:customStyle="1">
    <w:name w:val="paragraph"/>
    <w:basedOn w:val="844"/>
    <w:pPr>
      <w:spacing w:before="100" w:beforeAutospacing="1" w:after="100" w:afterAutospacing="1"/>
    </w:pPr>
  </w:style>
  <w:style w:type="character" w:styleId="859" w:customStyle="1">
    <w:name w:val="normaltextrun"/>
    <w:basedOn w:val="846"/>
  </w:style>
  <w:style w:type="character" w:styleId="860" w:customStyle="1">
    <w:name w:val="scxw111914594"/>
    <w:basedOn w:val="846"/>
  </w:style>
  <w:style w:type="character" w:styleId="861" w:customStyle="1">
    <w:name w:val="eop"/>
    <w:basedOn w:val="846"/>
  </w:style>
  <w:style w:type="character" w:styleId="862" w:customStyle="1">
    <w:name w:val="tabchar"/>
    <w:basedOn w:val="846"/>
  </w:style>
  <w:style w:type="character" w:styleId="863" w:customStyle="1">
    <w:name w:val="spellingerror"/>
    <w:basedOn w:val="846"/>
  </w:style>
  <w:style w:type="character" w:styleId="864" w:customStyle="1">
    <w:name w:val="Основной текст (2)_"/>
    <w:basedOn w:val="846"/>
    <w:link w:val="865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865" w:customStyle="1">
    <w:name w:val="Основной текст (2)"/>
    <w:basedOn w:val="844"/>
    <w:link w:val="864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866">
    <w:name w:val="Header"/>
    <w:basedOn w:val="844"/>
    <w:link w:val="86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7" w:customStyle="1">
    <w:name w:val="Верхний колонтитул Знак"/>
    <w:basedOn w:val="846"/>
    <w:link w:val="866"/>
    <w:uiPriority w:val="99"/>
    <w:rPr>
      <w:rFonts w:ascii="Times New Roman" w:hAnsi="Times New Roman" w:cs="Times New Roman"/>
      <w:sz w:val="24"/>
      <w:szCs w:val="24"/>
    </w:rPr>
  </w:style>
  <w:style w:type="paragraph" w:styleId="868">
    <w:name w:val="Footer"/>
    <w:basedOn w:val="844"/>
    <w:link w:val="86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9" w:customStyle="1">
    <w:name w:val="Нижний колонтитул Знак"/>
    <w:basedOn w:val="846"/>
    <w:link w:val="868"/>
    <w:uiPriority w:val="99"/>
    <w:rPr>
      <w:rFonts w:ascii="Times New Roman" w:hAnsi="Times New Roman" w:cs="Times New Roman"/>
      <w:sz w:val="24"/>
      <w:szCs w:val="24"/>
    </w:rPr>
  </w:style>
  <w:style w:type="character" w:styleId="870" w:customStyle="1">
    <w:name w:val="Заголовок 1 Знак"/>
    <w:basedOn w:val="846"/>
    <w:link w:val="845"/>
    <w:rPr>
      <w:rFonts w:ascii="Times New Roman" w:hAnsi="Times New Roman" w:cs="Times New Roman"/>
      <w:sz w:val="24"/>
      <w:szCs w:val="24"/>
      <w:lang w:eastAsia="en-US"/>
    </w:rPr>
  </w:style>
  <w:style w:type="paragraph" w:styleId="871">
    <w:name w:val="Body Text Indent"/>
    <w:basedOn w:val="844"/>
    <w:link w:val="872"/>
    <w:pPr>
      <w:ind w:left="283"/>
      <w:spacing w:after="120"/>
    </w:pPr>
  </w:style>
  <w:style w:type="character" w:styleId="872" w:customStyle="1">
    <w:name w:val="Основной текст с отступом Знак"/>
    <w:basedOn w:val="846"/>
    <w:link w:val="871"/>
    <w:rPr>
      <w:rFonts w:ascii="Times New Roman" w:hAnsi="Times New Roman" w:cs="Times New Roman"/>
      <w:sz w:val="24"/>
      <w:szCs w:val="24"/>
    </w:rPr>
  </w:style>
  <w:style w:type="paragraph" w:styleId="873" w:customStyle="1">
    <w:name w:val="ConsPlusNonformat"/>
    <w:pPr>
      <w:widowControl w:val="off"/>
    </w:pPr>
    <w:rPr>
      <w:rFonts w:ascii="Courier New" w:hAnsi="Courier New" w:cs="Courier New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078A5E6-520E-4C39-9544-D3DCCB45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5</cp:revision>
  <dcterms:created xsi:type="dcterms:W3CDTF">2024-03-07T07:22:00Z</dcterms:created>
  <dcterms:modified xsi:type="dcterms:W3CDTF">2024-03-11T08:25:45Z</dcterms:modified>
</cp:coreProperties>
</file>