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2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5099225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2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2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2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2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2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2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2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62"/>
        <w:jc w:val="both"/>
        <w:rPr>
          <w:b/>
          <w:sz w:val="22"/>
          <w:highlight w:val="none"/>
        </w:rPr>
      </w:pPr>
      <w:r>
        <w:rPr>
          <w:b/>
          <w:sz w:val="22"/>
          <w:szCs w:val="18"/>
        </w:rPr>
        <w:t xml:space="preserve">«_13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__декабря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_879_</w:t>
      </w:r>
      <w:r>
        <w:rPr>
          <w:sz w:val="22"/>
          <w:szCs w:val="28"/>
        </w:rPr>
      </w:r>
      <w:r>
        <w:rPr>
          <w:sz w:val="22"/>
        </w:rPr>
      </w:r>
    </w:p>
    <w:p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highlight w:val="none"/>
        </w:rPr>
      </w:r>
      <w:r>
        <w:rPr>
          <w:b/>
          <w:sz w:val="18"/>
          <w:szCs w:val="1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7229" w:type="dxa"/>
        <w:tblInd w:w="1384" w:type="dxa"/>
        <w:tblLook w:val="01E0" w:firstRow="1" w:lastRow="1" w:firstColumn="1" w:lastColumn="1" w:noHBand="0" w:noVBand="0"/>
      </w:tblPr>
      <w:tblGrid>
        <w:gridCol w:w="7229"/>
      </w:tblGrid>
      <w:tr>
        <w:trPr>
          <w:trHeight w:val="701"/>
        </w:trPr>
        <w:tc>
          <w:tcPr>
            <w:tcW w:w="7229" w:type="dxa"/>
            <w:textDirection w:val="lrTb"/>
            <w:noWrap w:val="false"/>
          </w:tcPr>
          <w:p>
            <w:pPr>
              <w:pStyle w:val="6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положения о расчете размера платы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пользование жилым помещением (платы за наем)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Грайворонском городском округе</w:t>
            </w:r>
            <w:r/>
          </w:p>
        </w:tc>
      </w:tr>
    </w:tbl>
    <w:p>
      <w:pPr>
        <w:ind w:firstLine="720"/>
        <w:tabs>
          <w:tab w:val="left" w:pos="1080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8"/>
        <w:jc w:val="both"/>
        <w:tabs>
          <w:tab w:val="left" w:pos="993" w:leader="none"/>
        </w:tabs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Жилищным</w:t>
      </w:r>
      <w:r>
        <w:rPr>
          <w:sz w:val="26"/>
          <w:szCs w:val="26"/>
        </w:rPr>
        <w:t xml:space="preserve"> кодексом</w:t>
      </w:r>
      <w:r>
        <w:rPr>
          <w:sz w:val="26"/>
          <w:szCs w:val="26"/>
        </w:rPr>
        <w:t xml:space="preserve"> Российской Федерации, Федеральным </w:t>
      </w:r>
      <w:r>
        <w:rPr>
          <w:sz w:val="26"/>
          <w:szCs w:val="26"/>
        </w:rPr>
        <w:t xml:space="preserve">законом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Методическими</w:t>
      </w:r>
      <w:r>
        <w:rPr>
          <w:sz w:val="26"/>
          <w:szCs w:val="26"/>
        </w:rPr>
        <w:t xml:space="preserve"> указаниями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установлению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риказом Министерства строительства и жилищно-коммунального хозяйства Российской</w:t>
      </w:r>
      <w:r>
        <w:rPr>
          <w:sz w:val="26"/>
          <w:szCs w:val="26"/>
        </w:rPr>
        <w:t xml:space="preserve"> Федерации от 27 сентября 2016 года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668/</w:t>
      </w:r>
      <w:r>
        <w:rPr>
          <w:sz w:val="26"/>
          <w:szCs w:val="26"/>
        </w:rPr>
        <w:t xml:space="preserve">пр</w:t>
      </w:r>
      <w:r>
        <w:rPr>
          <w:sz w:val="26"/>
          <w:szCs w:val="26"/>
        </w:rPr>
        <w:t xml:space="preserve">, руководствуясь </w:t>
      </w:r>
      <w:r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Грайворонского городского округа, </w:t>
      </w:r>
      <w:r>
        <w:rPr>
          <w:b/>
          <w:spacing w:val="40"/>
          <w:sz w:val="26"/>
          <w:szCs w:val="26"/>
        </w:rPr>
        <w:t xml:space="preserve">постановля</w:t>
      </w:r>
      <w:r>
        <w:rPr>
          <w:b/>
          <w:sz w:val="26"/>
          <w:szCs w:val="26"/>
        </w:rPr>
        <w:t xml:space="preserve">ю</w:t>
      </w:r>
      <w:r>
        <w:rPr>
          <w:b/>
          <w:bCs/>
          <w:sz w:val="26"/>
          <w:szCs w:val="26"/>
          <w:shd w:val="clear" w:color="auto" w:fill="ffffff"/>
        </w:rPr>
        <w:t xml:space="preserve">:</w:t>
      </w:r>
      <w:r/>
    </w:p>
    <w:p>
      <w:pPr>
        <w:pStyle w:val="672"/>
        <w:ind w:firstLine="708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Утвердить</w:t>
      </w:r>
      <w:r>
        <w:rPr>
          <w:rFonts w:ascii="Times New Roman" w:hAnsi="Times New Roman" w:cs="Times New Roman"/>
          <w:sz w:val="26"/>
          <w:szCs w:val="26"/>
        </w:rPr>
        <w:t xml:space="preserve"> Положение</w:t>
      </w:r>
      <w:r>
        <w:rPr>
          <w:rFonts w:ascii="Times New Roman" w:hAnsi="Times New Roman" w:cs="Times New Roman"/>
          <w:sz w:val="26"/>
          <w:szCs w:val="26"/>
        </w:rPr>
        <w:t xml:space="preserve">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или муниципального жилищного фонда в Грайворонском городском округе (прилагается).</w:t>
      </w:r>
      <w:r/>
    </w:p>
    <w:p>
      <w:pPr>
        <w:ind w:firstLine="708"/>
        <w:jc w:val="both"/>
        <w:tabs>
          <w:tab w:val="left" w:pos="993" w:leader="none"/>
        </w:tabs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Установить единый коэффициент соответствия платы (Кс):</w:t>
      </w:r>
      <w:r>
        <w:rPr>
          <w:rFonts w:eastAsiaTheme="minorHAnsi"/>
          <w:sz w:val="26"/>
          <w:szCs w:val="26"/>
          <w:lang w:eastAsia="en-US"/>
        </w:rPr>
        <w:t xml:space="preserve"> по договорам социального найма </w:t>
      </w:r>
      <w:r>
        <w:rPr>
          <w:sz w:val="26"/>
          <w:szCs w:val="26"/>
        </w:rPr>
        <w:t xml:space="preserve">в размере 0,115, </w:t>
      </w:r>
      <w:r>
        <w:rPr>
          <w:rFonts w:eastAsiaTheme="minorHAnsi"/>
          <w:sz w:val="26"/>
          <w:szCs w:val="26"/>
          <w:lang w:eastAsia="en-US"/>
        </w:rPr>
        <w:t xml:space="preserve">по договорам найма жилых помещений государственного или муниципального жилищного фонда в размере 1,0</w:t>
      </w:r>
      <w:r>
        <w:rPr>
          <w:rFonts w:eastAsiaTheme="minorHAnsi"/>
          <w:sz w:val="26"/>
          <w:szCs w:val="26"/>
          <w:lang w:eastAsia="en-US"/>
        </w:rPr>
        <w:t xml:space="preserve"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/>
    </w:p>
    <w:p>
      <w:pPr>
        <w:ind w:firstLine="708"/>
        <w:jc w:val="both"/>
        <w:tabs>
          <w:tab w:val="left" w:pos="993" w:leader="none"/>
          <w:tab w:val="left" w:pos="1134" w:leader="none"/>
        </w:tabs>
        <w:rPr>
          <w:sz w:val="26"/>
          <w:szCs w:val="26"/>
        </w:rPr>
      </w:pPr>
      <w:r>
        <w:rPr>
          <w:bCs/>
          <w:color w:val="00000A"/>
          <w:sz w:val="26"/>
          <w:szCs w:val="26"/>
        </w:rPr>
        <w:t xml:space="preserve">3</w:t>
      </w:r>
      <w:r>
        <w:rPr>
          <w:bCs/>
          <w:color w:val="00000A"/>
          <w:sz w:val="26"/>
          <w:szCs w:val="26"/>
        </w:rPr>
        <w:t xml:space="preserve">.</w:t>
      </w:r>
      <w:r>
        <w:rPr>
          <w:bCs/>
          <w:color w:val="00000A"/>
          <w:sz w:val="26"/>
          <w:szCs w:val="26"/>
        </w:rPr>
        <w:tab/>
      </w:r>
      <w:r>
        <w:rPr>
          <w:sz w:val="26"/>
          <w:szCs w:val="26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/>
    </w:p>
    <w:p>
      <w:pPr>
        <w:pStyle w:val="666"/>
        <w:ind w:firstLine="708"/>
        <w:jc w:val="both"/>
        <w:spacing w:after="0"/>
        <w:tabs>
          <w:tab w:val="left" w:pos="993" w:leader="none"/>
        </w:tabs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4.</w:t>
      </w:r>
      <w:r>
        <w:rPr>
          <w:spacing w:val="-2"/>
          <w:sz w:val="26"/>
          <w:szCs w:val="26"/>
        </w:rPr>
        <w:tab/>
      </w:r>
      <w:r>
        <w:rPr>
          <w:sz w:val="26"/>
          <w:szCs w:val="26"/>
        </w:rPr>
        <w:t xml:space="preserve">Контроль за</w:t>
      </w:r>
      <w:r>
        <w:rPr>
          <w:sz w:val="26"/>
          <w:szCs w:val="26"/>
        </w:rPr>
        <w:t xml:space="preserve"> исполнением постановления возложить на заместителя главы администрации округа – начальника управления по строительству, транспорту, </w:t>
      </w:r>
      <w:r>
        <w:rPr>
          <w:sz w:val="26"/>
          <w:szCs w:val="26"/>
        </w:rPr>
        <w:br/>
        <w:t xml:space="preserve">ЖКХ и ТЭК Р.</w:t>
      </w: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Твердуна</w:t>
      </w:r>
      <w:r>
        <w:rPr>
          <w:sz w:val="26"/>
          <w:szCs w:val="26"/>
        </w:rPr>
        <w:t xml:space="preserve">.</w:t>
      </w:r>
      <w:r/>
    </w:p>
    <w:p>
      <w:pPr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821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W w:w="4821" w:type="dxa"/>
            <w:textDirection w:val="lrTb"/>
            <w:noWrap w:val="false"/>
          </w:tcPr>
          <w:p>
            <w:pPr>
              <w:ind w:right="-114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r/>
      <w:bookmarkStart w:id="0" w:name="_GoBack"/>
      <w:r/>
      <w:bookmarkEnd w:id="0"/>
      <w:r>
        <w:br w:type="page"/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91"/>
        <w:gridCol w:w="545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9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5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УТВЕРЖДЕНО 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</w:t>
            </w:r>
            <w:r>
              <w:rPr>
                <w:b/>
                <w:sz w:val="28"/>
                <w:szCs w:val="28"/>
              </w:rPr>
              <w:t xml:space="preserve">ем</w:t>
            </w:r>
            <w:r>
              <w:rPr>
                <w:b/>
                <w:sz w:val="28"/>
                <w:szCs w:val="28"/>
              </w:rPr>
              <w:t xml:space="preserve"> администрации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городского округа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«_13_»_декабря_2022_</w:t>
            </w:r>
            <w:r>
              <w:rPr>
                <w:b/>
                <w:sz w:val="28"/>
                <w:szCs w:val="28"/>
              </w:rPr>
              <w:t xml:space="preserve"> года №_879_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9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расчете размера платы за пользование жилым помещением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Грайворонском городском округе</w:t>
      </w:r>
      <w:r/>
    </w:p>
    <w:p>
      <w:pPr>
        <w:pStyle w:val="69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</w:t>
      </w:r>
      <w:r/>
    </w:p>
    <w:p>
      <w:pPr>
        <w:pStyle w:val="672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о расчете размера платы за пользование жилым помещением (платы за наем) для нанимателей жилых помещений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договорам социального найма и договорам найма жилых помещений государственного или муниципального жилищного фонда в Грайворонском городском округе (далее - Положение)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статье 156 </w:t>
      </w:r>
      <w:r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указаниями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договорам найма жилых помещений государственного или муниципального жилищного фонда,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риказом 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Российской Федерации от 27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668/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, и определяет порядок расчета размера платы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- плата за наем).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 w:eastAsiaTheme="minorEastAsia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Размер платы за наем жилого помещения устанавливается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расчета за 1 кв</w:t>
      </w:r>
      <w:r>
        <w:rPr>
          <w:rFonts w:ascii="Times New Roman" w:hAnsi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площади жилого помещения, с учетом базового размера платы за наем, коэффициента соответствия платы, качества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благоустройства жилого помещения, месторасположения жилого дома.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 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Размер платы за наем жилого помещения может изменяться не чаще одного раза в три года.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Доходы, получаемые в виде платы за наем жилого помещения, являются неналоговыми доходами бюджета Грайворонского городского округа.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Главным администратором неналоговых доходов бюджета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отношении поступления платы за наем муниципального жилого помещения является управление по строительству, транспорту, жилищно-коммунальному хозяйству и ТЭК администрации Грайворонского городского округа. </w:t>
      </w:r>
      <w:r/>
    </w:p>
    <w:p>
      <w:pPr>
        <w:ind w:firstLine="709"/>
        <w:jc w:val="both"/>
        <w:widowControl w:val="off"/>
        <w:tabs>
          <w:tab w:val="left" w:pos="1418" w:leader="none"/>
        </w:tabs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1.6.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EastAsia"/>
          <w:sz w:val="28"/>
          <w:szCs w:val="28"/>
        </w:rPr>
        <w:t xml:space="preserve">Плата за наем жилого помещения вносится нанимателями ежемесячно, не позднее 10-го числа месяца, следующего за </w:t>
      </w:r>
      <w:r>
        <w:rPr>
          <w:rFonts w:eastAsiaTheme="minorEastAsia"/>
          <w:sz w:val="28"/>
          <w:szCs w:val="28"/>
        </w:rPr>
        <w:t xml:space="preserve">отчетным</w:t>
      </w:r>
      <w:r>
        <w:rPr>
          <w:rFonts w:eastAsiaTheme="minorEastAsia"/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tabs>
          <w:tab w:val="left" w:pos="1418" w:leader="none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1.7.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Начисление платы за наем жилого муниципального помещения производится одновременно с начислением платежей за жилищно-коммунальные услуги.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1.8.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Учет поступления платы за наем муниципального жилого помещения и </w:t>
      </w:r>
      <w:r>
        <w:rPr>
          <w:rFonts w:eastAsiaTheme="minorEastAsia"/>
          <w:sz w:val="28"/>
          <w:szCs w:val="28"/>
        </w:rPr>
        <w:t xml:space="preserve">контроль за</w:t>
      </w:r>
      <w:r>
        <w:rPr>
          <w:rFonts w:eastAsiaTheme="minorEastAsia"/>
          <w:sz w:val="28"/>
          <w:szCs w:val="28"/>
        </w:rPr>
        <w:t xml:space="preserve"> своевременным поступлен</w:t>
      </w:r>
      <w:r>
        <w:rPr>
          <w:rFonts w:eastAsiaTheme="minorEastAsia"/>
          <w:sz w:val="28"/>
          <w:szCs w:val="28"/>
        </w:rPr>
        <w:t xml:space="preserve">и</w:t>
      </w:r>
      <w:r>
        <w:rPr>
          <w:rFonts w:eastAsiaTheme="minorEastAsia"/>
          <w:sz w:val="28"/>
          <w:szCs w:val="28"/>
        </w:rPr>
        <w:t xml:space="preserve">ем платы за наем жилого помещения производит управление</w:t>
      </w:r>
      <w:r>
        <w:rPr>
          <w:rFonts w:eastAsiaTheme="minorEastAsia"/>
          <w:sz w:val="28"/>
          <w:szCs w:val="28"/>
        </w:rPr>
        <w:t xml:space="preserve">м</w:t>
      </w:r>
      <w:r>
        <w:rPr>
          <w:rFonts w:eastAsiaTheme="minorEastAsia"/>
          <w:sz w:val="28"/>
          <w:szCs w:val="28"/>
        </w:rPr>
        <w:t xml:space="preserve"> по строительству, транспорту, 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 xml:space="preserve">ЖКХ и ТЭК администрации Грайворонского городского округа.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 w:eastAsiaTheme="minorEastAsia"/>
          <w:sz w:val="28"/>
          <w:szCs w:val="28"/>
        </w:rPr>
        <w:outlineLvl w:val="1"/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1.9.</w:t>
      </w:r>
      <w:r>
        <w:rPr>
          <w:rFonts w:ascii="Times New Roman" w:hAnsi="Times New Roman" w:cs="Times New Roman" w:eastAsiaTheme="minorEastAsia"/>
          <w:sz w:val="28"/>
          <w:szCs w:val="28"/>
        </w:rPr>
        <w:tab/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Полученные средства от взимания платы за наем муниципального жилого помещения используются на капитальный ремонт, реконструкцию </w:t>
      </w:r>
      <w:r>
        <w:rPr>
          <w:rFonts w:ascii="Times New Roman" w:hAnsi="Times New Roman" w:cs="Times New Roman" w:eastAsiaTheme="minorEastAsia"/>
          <w:sz w:val="28"/>
          <w:szCs w:val="28"/>
        </w:rPr>
        <w:br/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и модернизацию муниципального жилищного фонда.</w:t>
      </w:r>
      <w:r/>
    </w:p>
    <w:p>
      <w:pPr>
        <w:ind w:firstLine="709"/>
        <w:jc w:val="both"/>
        <w:widowControl w:val="off"/>
        <w:tabs>
          <w:tab w:val="left" w:pos="1418" w:leader="none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1.10.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Ответственность за своевременность и полноту внесения платы </w:t>
      </w:r>
      <w:r>
        <w:rPr>
          <w:rFonts w:eastAsiaTheme="minorEastAsia"/>
          <w:sz w:val="28"/>
          <w:szCs w:val="28"/>
        </w:rPr>
        <w:br/>
      </w:r>
      <w:r>
        <w:rPr>
          <w:rFonts w:eastAsiaTheme="minorEastAsia"/>
          <w:sz w:val="28"/>
          <w:szCs w:val="28"/>
        </w:rPr>
        <w:t xml:space="preserve">за наем жилого помещения несут наниматели в соответствии с жилищным законодательством Р</w:t>
      </w:r>
      <w:r>
        <w:rPr>
          <w:rFonts w:eastAsiaTheme="minorEastAsia"/>
          <w:sz w:val="28"/>
          <w:szCs w:val="28"/>
        </w:rPr>
        <w:t xml:space="preserve">оссийской </w:t>
      </w:r>
      <w:r>
        <w:rPr>
          <w:rFonts w:eastAsiaTheme="minorEastAsia"/>
          <w:sz w:val="28"/>
          <w:szCs w:val="28"/>
        </w:rPr>
        <w:t xml:space="preserve">Ф</w:t>
      </w:r>
      <w:r>
        <w:rPr>
          <w:rFonts w:eastAsiaTheme="minorEastAsia"/>
          <w:sz w:val="28"/>
          <w:szCs w:val="28"/>
        </w:rPr>
        <w:t xml:space="preserve">едерации</w:t>
      </w:r>
      <w:r>
        <w:rPr>
          <w:rFonts w:eastAsiaTheme="minorEastAsia"/>
          <w:sz w:val="28"/>
          <w:szCs w:val="28"/>
        </w:rPr>
        <w:t xml:space="preserve"> и настоящим Положением.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1.11</w:t>
      </w:r>
      <w:r>
        <w:rPr>
          <w:rFonts w:eastAsiaTheme="minorEastAsia"/>
          <w:sz w:val="28"/>
          <w:szCs w:val="28"/>
        </w:rPr>
        <w:t xml:space="preserve">.</w:t>
      </w:r>
      <w:r>
        <w:rPr>
          <w:rFonts w:eastAsiaTheme="minorEastAsia"/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Граждане, признанные в установленном Жилищным</w:t>
      </w:r>
      <w:r>
        <w:rPr>
          <w:rFonts w:eastAsiaTheme="minorHAnsi"/>
          <w:sz w:val="28"/>
          <w:szCs w:val="28"/>
          <w:lang w:eastAsia="en-US"/>
        </w:rPr>
        <w:t xml:space="preserve"> кодексом</w:t>
      </w:r>
      <w:r>
        <w:rPr>
          <w:rFonts w:eastAsiaTheme="minorHAnsi"/>
          <w:sz w:val="28"/>
          <w:szCs w:val="28"/>
          <w:lang w:eastAsia="en-US"/>
        </w:rPr>
        <w:t xml:space="preserve"> РФ порядке малоимущими и занимающие жилые помещения по договорам социального найма, освобождаются от внесения платы за пользование жилым помещением (платы за наем).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1.12.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Плата за наем не взимается в домах, признанных в установленном законодательством порядке аварийными, жилых помещениях, признанных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установленном законодательством порядке непригодными для проживания.</w:t>
      </w:r>
      <w:r/>
    </w:p>
    <w:p>
      <w:pPr>
        <w:ind w:firstLine="709"/>
        <w:jc w:val="both"/>
        <w:tabs>
          <w:tab w:val="left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1.13.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Обязанность по внесению платы за наем муниципального жилого помещения возникает у нанимателя жилого помещения с момента заключения договора найма, а в случае отсутствия договора - с момента возникновения права на вселение в муниципальное жилое помещение.</w:t>
      </w:r>
      <w:r/>
    </w:p>
    <w:p>
      <w:pPr>
        <w:ind w:firstLine="709"/>
        <w:jc w:val="both"/>
        <w:widowControl w:val="o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Размер платы за наем жилого помещения</w:t>
      </w:r>
      <w:r/>
    </w:p>
    <w:p>
      <w:pPr>
        <w:pStyle w:val="672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Размер платы за наем j-го жилого помещения, предоставленного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 или договору найма жилого помещения государственного или муниципального жилищного фонда, определяется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формуле:</w:t>
      </w:r>
      <w:r/>
    </w:p>
    <w:p>
      <w:pPr>
        <w:pStyle w:val="672"/>
        <w:jc w:val="center"/>
        <w:tabs>
          <w:tab w:val="left" w:pos="141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Пн</w:t>
      </w:r>
      <w:r>
        <w:rPr>
          <w:rFonts w:ascii="Times New Roman" w:hAnsi="Times New Roman" w:cs="Times New Roman"/>
          <w:b/>
          <w:sz w:val="28"/>
          <w:szCs w:val="28"/>
        </w:rPr>
        <w:t xml:space="preserve">j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 xml:space="preserve">Нб</w:t>
      </w:r>
      <w:r>
        <w:rPr>
          <w:rFonts w:ascii="Times New Roman" w:hAnsi="Times New Roman" w:cs="Times New Roman"/>
          <w:b/>
          <w:sz w:val="28"/>
          <w:szCs w:val="28"/>
        </w:rPr>
        <w:t xml:space="preserve"> * </w:t>
      </w:r>
      <w:r>
        <w:rPr>
          <w:rFonts w:ascii="Times New Roman" w:hAnsi="Times New Roman" w:cs="Times New Roman"/>
          <w:b/>
          <w:sz w:val="28"/>
          <w:szCs w:val="28"/>
        </w:rPr>
        <w:t xml:space="preserve">Кj</w:t>
      </w:r>
      <w:r>
        <w:rPr>
          <w:rFonts w:ascii="Times New Roman" w:hAnsi="Times New Roman" w:cs="Times New Roman"/>
          <w:b/>
          <w:sz w:val="28"/>
          <w:szCs w:val="28"/>
        </w:rPr>
        <w:t xml:space="preserve"> * Кс * </w:t>
      </w:r>
      <w:r>
        <w:rPr>
          <w:rFonts w:ascii="Times New Roman" w:hAnsi="Times New Roman" w:cs="Times New Roman"/>
          <w:b/>
          <w:sz w:val="28"/>
          <w:szCs w:val="28"/>
        </w:rPr>
        <w:t xml:space="preserve">Пj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Пн</w:t>
      </w:r>
      <w:r>
        <w:rPr>
          <w:rFonts w:ascii="Times New Roman" w:hAnsi="Times New Roman" w:cs="Times New Roman"/>
          <w:sz w:val="28"/>
          <w:szCs w:val="28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- размер платы за наем j-го жилого помещения, предоставленного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 или договору найма жилого помещения государственного или муниципального жилищного фонда;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Нб</w:t>
      </w:r>
      <w:r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- коэффициент соответствия платы;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- общая площадь j-го жилого помещения, предоставленного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договору социального найма или договору найма жилого помещения государственного или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жилищного фонда (кв.</w:t>
      </w:r>
      <w:r>
        <w:rPr>
          <w:rFonts w:ascii="Times New Roman" w:hAnsi="Times New Roman" w:cs="Times New Roman"/>
          <w:sz w:val="28"/>
          <w:szCs w:val="28"/>
        </w:rPr>
        <w:t xml:space="preserve">м).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Величина коэффициента соответствия платы за наем жилого помещения, предоставленного по договору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найма или договору найма жилого помещения государственного или муниципального жилищного фонда, зависит от социально-экономических условий в Грайворонском городском округе и устанавливается администрацией Грайворонского городского округа в интервале [0; 1].</w:t>
      </w:r>
      <w:r/>
    </w:p>
    <w:p>
      <w:pPr>
        <w:pStyle w:val="672"/>
        <w:ind w:firstLine="709"/>
        <w:jc w:val="center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Базовый размер платы за наем жилого помещения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Базовый размер платы за наем жилого помещения определяется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формуле:</w:t>
      </w:r>
      <w:r/>
    </w:p>
    <w:p>
      <w:pPr>
        <w:pStyle w:val="672"/>
        <w:ind w:firstLine="709"/>
        <w:jc w:val="center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Нб</w:t>
      </w:r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sz w:val="28"/>
          <w:szCs w:val="28"/>
        </w:rPr>
        <w:t xml:space="preserve">СРс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x</w:t>
      </w:r>
      <w:r>
        <w:rPr>
          <w:rFonts w:ascii="Times New Roman" w:hAnsi="Times New Roman" w:cs="Times New Roman"/>
          <w:b/>
          <w:sz w:val="28"/>
          <w:szCs w:val="28"/>
        </w:rPr>
        <w:t xml:space="preserve"> 0,001,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Нб</w:t>
      </w:r>
      <w:r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СРс</w:t>
      </w:r>
      <w:r>
        <w:rPr>
          <w:rFonts w:ascii="Times New Roman" w:hAnsi="Times New Roman" w:cs="Times New Roman"/>
          <w:sz w:val="28"/>
          <w:szCs w:val="28"/>
        </w:rPr>
        <w:t xml:space="preserve"> - средняя цена 1 кв</w:t>
      </w:r>
      <w:r>
        <w:rPr>
          <w:rFonts w:ascii="Times New Roman" w:hAnsi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площади квартир на вторичном рынке жилья в Белгородской области.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Средняя цена 1 кв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площади квартир на вторичном рынке жилья в Белгородской области определяется по актуальным данным Федеральной службы государственной статистики, которые размещаются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свободном доступе в Единой межведомственной информационно-статистической системе (ЕМИСС).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указанной информации по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средняя цена 1 кв</w:t>
      </w:r>
      <w:r>
        <w:rPr>
          <w:rFonts w:ascii="Times New Roman" w:hAnsi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площади квартир на вторичном рынке жилья по Центральному федеральному округу.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4. Коэффициент, характеризующий качество и благоустройство</w:t>
      </w:r>
      <w:r/>
    </w:p>
    <w:p>
      <w:pPr>
        <w:pStyle w:val="6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помещения, месторасположение дома</w:t>
      </w:r>
      <w:r/>
    </w:p>
    <w:p>
      <w:pPr>
        <w:pStyle w:val="672"/>
        <w:ind w:firstLine="709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Размер платы за наем жилого помещения устанавливается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коэффициента, характеризующего качество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благоустройство жилого помещения, месторасположение </w:t>
      </w:r>
      <w:r>
        <w:rPr>
          <w:rFonts w:ascii="Times New Roman" w:hAnsi="Times New Roman" w:cs="Times New Roman"/>
          <w:sz w:val="28"/>
          <w:szCs w:val="28"/>
        </w:rPr>
        <w:t xml:space="preserve">дома -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72"/>
        <w:ind w:firstLine="709"/>
        <w:tabs>
          <w:tab w:val="left" w:pos="14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как среднеарифметическое значение показателей по отдельным параметрам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формуле:</w:t>
      </w:r>
      <w:r/>
    </w:p>
    <w:p>
      <w:pPr>
        <w:pStyle w:val="67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position w:val="-23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62075" cy="438150"/>
                <wp:effectExtent l="0" t="0" r="0" b="0"/>
                <wp:docPr id="2" name="Рисунок 1" descr="base_23956_85390_32768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se_23956_85390_32768" hidden="0"/>
                        <pic:cNvPicPr>
                          <a:picLocks noChangeArrowheads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362075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07.2pt;height:34.5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К3 - коэффициент, характеризующий месторасположение дома.</w:t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Значение показателей К-1 –К-3 оцениваются в интервале (0,8; 1,3)</w:t>
      </w:r>
      <w:r/>
    </w:p>
    <w:p>
      <w:pPr>
        <w:pStyle w:val="672"/>
        <w:ind w:firstLine="540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52"/>
        <w:gridCol w:w="4802"/>
        <w:gridCol w:w="2144"/>
      </w:tblGrid>
      <w:tr>
        <w:trPr>
          <w:tblHeader/>
        </w:trPr>
        <w:tc>
          <w:tcPr>
            <w:tcW w:w="255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Коэффициент</w:t>
            </w:r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Параметры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коэффициента</w:t>
            </w:r>
            <w:r/>
          </w:p>
        </w:tc>
      </w:tr>
      <w:tr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жилого помещения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Кирпич (керамический, силикатный)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</w:t>
            </w:r>
            <w:r/>
          </w:p>
        </w:tc>
      </w:tr>
      <w:tr>
        <w:trPr/>
        <w:tc>
          <w:tcPr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Железобетонные панели и блоки, монолит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/>
          </w:p>
        </w:tc>
      </w:tr>
      <w:tr>
        <w:trPr/>
        <w:tc>
          <w:tcPr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Древесина, шлакобетон и прочие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/>
          </w:p>
        </w:tc>
      </w:tr>
      <w:tr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благоустройства жилого помещения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инженерными коммуникациями: централизованным газоснабжением, электроснабжение, централизованным горячим и холодным водоснабжением, водоотведением, централизованное отопление, наличие ванны (душа)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</w:t>
            </w:r>
            <w:r/>
          </w:p>
        </w:tc>
      </w:tr>
      <w:tr>
        <w:trPr/>
        <w:tc>
          <w:tcPr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инженерными коммуникациями: централизованным газоснабжением электроснабжение, централизованным горячим и холодным водоснабжением, водоотведением, индивидуальное отопление, наличие ванны (душа)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/>
          </w:p>
        </w:tc>
      </w:tr>
      <w:tr>
        <w:trPr/>
        <w:tc>
          <w:tcPr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инженерными коммуникациями: централизованным газоснабжением электроснабжение,  индивидуальное отопление, наличие ванны (душа), оборудованные газовыми водогрейными колонками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централизованным холодным водоснабжением, водоотведением наличие ванны (душа)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/>
          </w:p>
        </w:tc>
      </w:tr>
      <w:tr>
        <w:trPr/>
        <w:tc>
          <w:tcPr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инженерными коммуникациями: жилые помещения  блокированной застройки с индивидуальным газовым отоплением, централизованным газоснабжением электроснабжение, холодным водоснабжением, водоотведением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ванны (душа)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</w:t>
            </w:r>
            <w:r/>
          </w:p>
        </w:tc>
      </w:tr>
      <w:tr>
        <w:trPr/>
        <w:tc>
          <w:tcPr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жилые помещения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2552" w:type="dxa"/>
            <w:vMerge w:val="restart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месторасположения дома (К3)</w:t>
            </w:r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расположенные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центральной части города Грайворона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2552" w:type="dxa"/>
            <w:vMerge w:val="continue"/>
            <w:textDirection w:val="lrTb"/>
            <w:noWrap w:val="false"/>
          </w:tcPr>
          <w:p>
            <w:pPr>
              <w:spacing w:after="1" w:line="0" w:lineRule="atLeast"/>
            </w:pPr>
            <w:r/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удаленные на расстояние не более 5 км от центральной части города Грайворона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1,05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6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802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удаленные на расстояние  более 5 км от центральной части города Грайворона</w:t>
            </w:r>
            <w:r/>
          </w:p>
        </w:tc>
        <w:tc>
          <w:tcPr>
            <w:tcW w:w="2144" w:type="dxa"/>
            <w:textDirection w:val="lrTb"/>
            <w:noWrap w:val="false"/>
          </w:tcPr>
          <w:p>
            <w:pPr>
              <w:pStyle w:val="6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/>
          </w:p>
        </w:tc>
      </w:tr>
    </w:tbl>
    <w:p>
      <w:pPr>
        <w:pStyle w:val="672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Конкретному жилому помещению соответствует лишь одно из значений каждого из показателей качества и благоустройства жилого помещения, месторасположение дома.</w:t>
      </w:r>
      <w:r/>
    </w:p>
    <w:p>
      <w:pPr>
        <w:pStyle w:val="672"/>
        <w:ind w:firstLine="54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16"/>
          <w:szCs w:val="16"/>
        </w:rPr>
      </w:pPr>
      <w:r>
        <w:rPr>
          <w:sz w:val="16"/>
          <w:szCs w:val="1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28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479052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4" w:hanging="122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6" w:hanging="121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1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2"/>
    <w:next w:val="66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2"/>
    <w:next w:val="66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2"/>
    <w:next w:val="66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2"/>
    <w:next w:val="66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3"/>
    <w:link w:val="32"/>
    <w:uiPriority w:val="10"/>
    <w:rPr>
      <w:sz w:val="48"/>
      <w:szCs w:val="48"/>
    </w:rPr>
  </w:style>
  <w:style w:type="paragraph" w:styleId="34">
    <w:name w:val="Subtitle"/>
    <w:basedOn w:val="662"/>
    <w:next w:val="66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3"/>
    <w:link w:val="34"/>
    <w:uiPriority w:val="11"/>
    <w:rPr>
      <w:sz w:val="24"/>
      <w:szCs w:val="24"/>
    </w:rPr>
  </w:style>
  <w:style w:type="paragraph" w:styleId="36">
    <w:name w:val="Quote"/>
    <w:basedOn w:val="662"/>
    <w:next w:val="66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2"/>
    <w:next w:val="66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3"/>
    <w:link w:val="684"/>
    <w:uiPriority w:val="99"/>
  </w:style>
  <w:style w:type="character" w:styleId="43">
    <w:name w:val="Footer Char"/>
    <w:basedOn w:val="663"/>
    <w:link w:val="686"/>
    <w:uiPriority w:val="99"/>
  </w:style>
  <w:style w:type="paragraph" w:styleId="44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6"/>
    <w:uiPriority w:val="99"/>
  </w:style>
  <w:style w:type="table" w:styleId="47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3"/>
    <w:uiPriority w:val="99"/>
    <w:unhideWhenUsed/>
    <w:rPr>
      <w:vertAlign w:val="superscript"/>
    </w:rPr>
  </w:style>
  <w:style w:type="paragraph" w:styleId="176">
    <w:name w:val="endnote text"/>
    <w:basedOn w:val="66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3"/>
    <w:uiPriority w:val="99"/>
    <w:semiHidden/>
    <w:unhideWhenUsed/>
    <w:rPr>
      <w:vertAlign w:val="superscript"/>
    </w:rPr>
  </w:style>
  <w:style w:type="paragraph" w:styleId="179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rFonts w:ascii="Times New Roman" w:hAnsi="Times New Roman" w:cs="Times New Roman"/>
      <w:sz w:val="24"/>
      <w:szCs w:val="24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Body Text"/>
    <w:basedOn w:val="662"/>
    <w:link w:val="667"/>
    <w:pPr>
      <w:spacing w:after="120"/>
    </w:pPr>
    <w:rPr>
      <w:sz w:val="20"/>
      <w:szCs w:val="20"/>
    </w:rPr>
  </w:style>
  <w:style w:type="character" w:styleId="667" w:customStyle="1">
    <w:name w:val="Основной текст Знак"/>
    <w:basedOn w:val="663"/>
    <w:link w:val="666"/>
    <w:rPr>
      <w:rFonts w:ascii="Times New Roman" w:hAnsi="Times New Roman" w:cs="Times New Roman"/>
    </w:rPr>
  </w:style>
  <w:style w:type="paragraph" w:styleId="668">
    <w:name w:val="Body Text Indent 2"/>
    <w:basedOn w:val="662"/>
    <w:link w:val="669"/>
    <w:pPr>
      <w:ind w:left="283"/>
      <w:spacing w:after="120" w:line="480" w:lineRule="auto"/>
    </w:pPr>
    <w:rPr>
      <w:sz w:val="20"/>
      <w:szCs w:val="20"/>
    </w:rPr>
  </w:style>
  <w:style w:type="character" w:styleId="669" w:customStyle="1">
    <w:name w:val="Основной текст с отступом 2 Знак"/>
    <w:basedOn w:val="663"/>
    <w:link w:val="668"/>
    <w:rPr>
      <w:rFonts w:ascii="Times New Roman" w:hAnsi="Times New Roman" w:cs="Times New Roman"/>
    </w:rPr>
  </w:style>
  <w:style w:type="paragraph" w:styleId="670">
    <w:name w:val="Balloon Text"/>
    <w:basedOn w:val="662"/>
    <w:link w:val="671"/>
    <w:uiPriority w:val="99"/>
    <w:semiHidden/>
    <w:unhideWhenUsed/>
    <w:rPr>
      <w:rFonts w:ascii="Tahoma" w:hAnsi="Tahoma" w:cs="Tahoma"/>
      <w:sz w:val="16"/>
      <w:szCs w:val="16"/>
    </w:rPr>
  </w:style>
  <w:style w:type="character" w:styleId="671" w:customStyle="1">
    <w:name w:val="Текст выноски Знак"/>
    <w:basedOn w:val="663"/>
    <w:link w:val="670"/>
    <w:uiPriority w:val="99"/>
    <w:semiHidden/>
    <w:rPr>
      <w:rFonts w:ascii="Tahoma" w:hAnsi="Tahoma" w:cs="Tahoma"/>
      <w:sz w:val="16"/>
      <w:szCs w:val="16"/>
    </w:rPr>
  </w:style>
  <w:style w:type="paragraph" w:styleId="672" w:customStyle="1">
    <w:name w:val="ConsPlusNormal"/>
    <w:pPr>
      <w:jc w:val="both"/>
      <w:widowControl w:val="off"/>
    </w:pPr>
    <w:rPr>
      <w:rFonts w:ascii="Arial" w:hAnsi="Arial" w:cs="Arial"/>
    </w:rPr>
  </w:style>
  <w:style w:type="paragraph" w:styleId="673">
    <w:name w:val="List Paragraph"/>
    <w:basedOn w:val="662"/>
    <w:uiPriority w:val="34"/>
    <w:qFormat/>
    <w:pPr>
      <w:contextualSpacing/>
      <w:ind w:left="720"/>
    </w:pPr>
  </w:style>
  <w:style w:type="paragraph" w:styleId="674">
    <w:name w:val="Normal (Web)"/>
    <w:basedOn w:val="662"/>
    <w:uiPriority w:val="99"/>
    <w:unhideWhenUsed/>
    <w:pPr>
      <w:spacing w:before="100" w:beforeAutospacing="1" w:after="100" w:afterAutospacing="1"/>
    </w:pPr>
  </w:style>
  <w:style w:type="paragraph" w:styleId="675" w:customStyle="1">
    <w:name w:val="paragraph"/>
    <w:basedOn w:val="662"/>
    <w:pPr>
      <w:spacing w:before="100" w:beforeAutospacing="1" w:after="100" w:afterAutospacing="1"/>
    </w:pPr>
  </w:style>
  <w:style w:type="character" w:styleId="676" w:customStyle="1">
    <w:name w:val="normaltextrun"/>
    <w:basedOn w:val="663"/>
  </w:style>
  <w:style w:type="character" w:styleId="677" w:customStyle="1">
    <w:name w:val="scxw111914594"/>
    <w:basedOn w:val="663"/>
  </w:style>
  <w:style w:type="character" w:styleId="678" w:customStyle="1">
    <w:name w:val="eop"/>
    <w:basedOn w:val="663"/>
  </w:style>
  <w:style w:type="character" w:styleId="679" w:customStyle="1">
    <w:name w:val="tabchar"/>
    <w:basedOn w:val="663"/>
  </w:style>
  <w:style w:type="character" w:styleId="680" w:customStyle="1">
    <w:name w:val="spellingerror"/>
    <w:basedOn w:val="663"/>
  </w:style>
  <w:style w:type="character" w:styleId="681" w:customStyle="1">
    <w:name w:val="Основной текст (2)_"/>
    <w:basedOn w:val="663"/>
    <w:link w:val="682"/>
    <w:uiPriority w:val="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styleId="682" w:customStyle="1">
    <w:name w:val="Основной текст (2)"/>
    <w:basedOn w:val="662"/>
    <w:link w:val="681"/>
    <w:uiPriority w:val="9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table" w:styleId="683">
    <w:name w:val="Table Grid"/>
    <w:basedOn w:val="664"/>
    <w:rPr>
      <w:rFonts w:ascii="Times New Roman" w:hAnsi="Times New Roman" w:cs="Times New Roman" w:eastAsia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62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63"/>
    <w:link w:val="684"/>
    <w:uiPriority w:val="99"/>
    <w:rPr>
      <w:rFonts w:ascii="Times New Roman" w:hAnsi="Times New Roman" w:cs="Times New Roman"/>
      <w:sz w:val="24"/>
      <w:szCs w:val="24"/>
    </w:rPr>
  </w:style>
  <w:style w:type="paragraph" w:styleId="686">
    <w:name w:val="Footer"/>
    <w:basedOn w:val="662"/>
    <w:link w:val="68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63"/>
    <w:link w:val="686"/>
    <w:uiPriority w:val="99"/>
    <w:semiHidden/>
    <w:rPr>
      <w:rFonts w:ascii="Times New Roman" w:hAnsi="Times New Roman" w:cs="Times New Roman"/>
      <w:sz w:val="24"/>
      <w:szCs w:val="24"/>
    </w:rPr>
  </w:style>
  <w:style w:type="paragraph" w:styleId="688">
    <w:name w:val="Body Text Indent"/>
    <w:basedOn w:val="662"/>
    <w:link w:val="689"/>
    <w:pPr>
      <w:ind w:left="283"/>
      <w:spacing w:after="120"/>
    </w:pPr>
    <w:rPr>
      <w:sz w:val="20"/>
      <w:szCs w:val="20"/>
    </w:rPr>
  </w:style>
  <w:style w:type="character" w:styleId="689" w:customStyle="1">
    <w:name w:val="Основной текст с отступом Знак"/>
    <w:basedOn w:val="663"/>
    <w:link w:val="688"/>
    <w:rPr>
      <w:rFonts w:ascii="Times New Roman" w:hAnsi="Times New Roman" w:cs="Times New Roman"/>
    </w:rPr>
  </w:style>
  <w:style w:type="paragraph" w:styleId="690" w:customStyle="1">
    <w:name w:val="ConsPlusTitle"/>
    <w:pPr>
      <w:widowControl w:val="off"/>
    </w:pPr>
    <w:rPr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8380024B-10D6-4345-BC61-99D37F4A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revision>4</cp:revision>
  <dcterms:created xsi:type="dcterms:W3CDTF">2022-11-25T05:21:00Z</dcterms:created>
  <dcterms:modified xsi:type="dcterms:W3CDTF">2022-12-14T06:55:36Z</dcterms:modified>
</cp:coreProperties>
</file>