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6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321081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66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66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</w:rPr>
      </w:r>
      <w:r/>
    </w:p>
    <w:p>
      <w:pPr>
        <w:pStyle w:val="666"/>
        <w:jc w:val="center"/>
        <w:rPr>
          <w:rFonts w:ascii="Arial" w:hAnsi="Arial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  <w:highlight w:val="none"/>
        </w:rPr>
      </w:r>
      <w:r/>
    </w:p>
    <w:p>
      <w:pPr>
        <w:pStyle w:val="666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6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6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6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6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66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66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66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66"/>
        <w:jc w:val="both"/>
        <w:rPr>
          <w:sz w:val="22"/>
        </w:rPr>
      </w:pPr>
      <w:r>
        <w:rPr>
          <w:b/>
          <w:sz w:val="22"/>
          <w:szCs w:val="18"/>
        </w:rPr>
        <w:t xml:space="preserve">«__26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_октября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_738_</w:t>
      </w:r>
      <w:r>
        <w:rPr>
          <w:b/>
          <w:sz w:val="22"/>
          <w:szCs w:val="18"/>
        </w:rPr>
      </w:r>
      <w:r>
        <w:rPr>
          <w:sz w:val="22"/>
        </w:rPr>
      </w:r>
    </w:p>
    <w:p>
      <w:pPr>
        <w:rPr>
          <w:sz w:val="22"/>
          <w:szCs w:val="28"/>
        </w:rPr>
      </w:pPr>
      <w:r>
        <w:rPr>
          <w:sz w:val="22"/>
          <w:szCs w:val="28"/>
        </w:rPr>
      </w:r>
      <w:r>
        <w:rPr>
          <w:sz w:val="22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>
        <w:trPr>
          <w:trHeight w:val="701"/>
        </w:trPr>
        <w:tc>
          <w:tcPr>
            <w:tcW w:w="7230" w:type="dxa"/>
            <w:textDirection w:val="lrTb"/>
            <w:noWrap w:val="false"/>
          </w:tcPr>
          <w:p>
            <w:pPr>
              <w:jc w:val="center"/>
              <w:tabs>
                <w:tab w:val="left" w:pos="4080" w:leader="none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карт-планов территорий </w:t>
            </w:r>
            <w:r/>
          </w:p>
          <w:p>
            <w:pPr>
              <w:jc w:val="center"/>
              <w:tabs>
                <w:tab w:val="left" w:pos="4080" w:leader="none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границах кадастровых кварталов: </w:t>
            </w:r>
            <w:r/>
          </w:p>
          <w:p>
            <w:pPr>
              <w:jc w:val="center"/>
              <w:tabs>
                <w:tab w:val="left" w:pos="4080" w:leader="none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31:13:1002002, 31:13:1002001, 31:13:0202001, 31:13:0202002, 31:13:0202003, 31:13:1101002, 31:13:1101003, 31:13:1101004, 31:13:1101005, 31:13:1101006, 31:13:1101007</w:t>
            </w:r>
            <w:r/>
          </w:p>
        </w:tc>
      </w:tr>
    </w:tbl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</w:t>
      </w:r>
      <w:r>
        <w:rPr>
          <w:sz w:val="28"/>
          <w:szCs w:val="28"/>
        </w:rPr>
        <w:t xml:space="preserve">ями</w:t>
      </w:r>
      <w:r>
        <w:rPr>
          <w:sz w:val="28"/>
          <w:szCs w:val="28"/>
        </w:rPr>
        <w:t xml:space="preserve"> 42.6, 42.10 Федерального закона от 24 июля 2007 года № 221-ФЗ «О кадастровой деятельности», постановлением администрации Грайворонского городского округа от 28 апреля 2022 года </w:t>
      </w:r>
      <w:r>
        <w:rPr>
          <w:sz w:val="28"/>
          <w:szCs w:val="28"/>
        </w:rPr>
        <w:br/>
        <w:t xml:space="preserve">№ 315 «О проведении комплексных кадастровых работ на территории Грайворонского городского округа», распоряжением адми</w:t>
      </w:r>
      <w:r>
        <w:rPr>
          <w:sz w:val="28"/>
          <w:szCs w:val="28"/>
        </w:rPr>
        <w:t xml:space="preserve">нистрации Грайворонского городского округа от 22 июня 2022 года № 650-р 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Грайворонского городского округа</w:t>
      </w:r>
      <w:r>
        <w:rPr>
          <w:color w:val="000000" w:themeColor="text1"/>
          <w:sz w:val="28"/>
          <w:szCs w:val="28"/>
        </w:rPr>
        <w:t xml:space="preserve">», с уч</w:t>
      </w:r>
      <w:bookmarkStart w:id="0" w:name="_GoBack"/>
      <w:r/>
      <w:bookmarkEnd w:id="0"/>
      <w:r>
        <w:rPr>
          <w:color w:val="000000" w:themeColor="text1"/>
          <w:sz w:val="28"/>
          <w:szCs w:val="28"/>
        </w:rPr>
        <w:t xml:space="preserve">етом протоколов заседания согласительной комиссии от 14 сентября 2022 года № 1 и от 20 октября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2022 года № 2, по вопросу согласования местоположения границ земельных участков, расположенных в границах кадастровых кварталов с учетными </w:t>
      </w:r>
      <w:r>
        <w:rPr>
          <w:sz w:val="28"/>
          <w:szCs w:val="28"/>
        </w:rPr>
        <w:t xml:space="preserve">номерами: </w:t>
      </w:r>
      <w:r>
        <w:rPr>
          <w:rFonts w:eastAsia="DejaVu Sans"/>
          <w:sz w:val="28"/>
          <w:szCs w:val="28"/>
          <w:lang w:eastAsia="ar-SA"/>
        </w:rPr>
        <w:t xml:space="preserve">31:13:1002002, 31:13:1002001, 31:13:0202001, 31:13:0202002, 31:13:0202003, 31:13:1101002, 31:13:1101003, 31:13:1101004, 31:13:1101005, 31:13:1101006, 31:13:1101007</w:t>
      </w:r>
      <w:r>
        <w:rPr>
          <w:sz w:val="28"/>
          <w:szCs w:val="28"/>
        </w:rPr>
        <w:t xml:space="preserve">, при выполнении комплексных кадастровых работ на основании муниципального контракта № 0126600001522000116/2022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«14» июня 2022 года, заключения согласительной комиссии от 21 октября 2022 года №1 о результатах рассмотрения возражений заинтересованных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лиц относительно местоположения границ земельных участков, установленных при выполнении комплексных кадастровых работ</w:t>
      </w:r>
      <w:r>
        <w:rPr>
          <w:b/>
          <w:bCs/>
          <w:sz w:val="28"/>
          <w:szCs w:val="28"/>
        </w:rPr>
        <w:t xml:space="preserve">, п о с т а н о в л я ю:</w:t>
      </w:r>
      <w:r/>
    </w:p>
    <w:p>
      <w:pPr>
        <w:ind w:firstLine="709"/>
        <w:jc w:val="both"/>
        <w:tabs>
          <w:tab w:val="left" w:pos="1134" w:leader="none"/>
        </w:tabs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карт-планы </w:t>
      </w:r>
      <w:r>
        <w:rPr>
          <w:bCs/>
          <w:sz w:val="28"/>
          <w:szCs w:val="28"/>
        </w:rPr>
        <w:t xml:space="preserve">территорий в границах кадастровых кварталов: </w:t>
      </w:r>
      <w:r>
        <w:rPr>
          <w:rFonts w:eastAsia="DejaVu Sans"/>
          <w:sz w:val="28"/>
          <w:szCs w:val="28"/>
          <w:lang w:eastAsia="ar-SA"/>
        </w:rPr>
        <w:t xml:space="preserve">31:13:1002002, 31:13:1002001, 31:13:0202001, 31:13:0202002, 31:13:0202003, 31:13:1101002, 31:13:1101003, 31:13:1101004, 31:13:1101005, 31:13:1101006, 31:13:1101007</w:t>
      </w:r>
      <w:r>
        <w:rPr>
          <w:sz w:val="28"/>
          <w:szCs w:val="28"/>
        </w:rPr>
        <w:t xml:space="preserve">, расположенных на территории Грайворонского городского округа, размещенные на официальном сайте о</w:t>
      </w:r>
      <w:r>
        <w:rPr>
          <w:sz w:val="28"/>
          <w:szCs w:val="28"/>
          <w:shd w:val="clear" w:color="auto" w:fill="ffffff"/>
        </w:rPr>
        <w:t xml:space="preserve">рганов местного самоуправления </w:t>
      </w:r>
      <w:r>
        <w:rPr>
          <w:sz w:val="28"/>
          <w:szCs w:val="28"/>
        </w:rPr>
        <w:t xml:space="preserve">Грайворонского городского округа Белгородской области в сети Интернет </w:t>
      </w:r>
      <w:r>
        <w:rPr>
          <w:sz w:val="28"/>
          <w:szCs w:val="28"/>
        </w:rPr>
        <w:br/>
        <w:t xml:space="preserve">по адресу: </w:t>
      </w:r>
      <w:r>
        <w:rPr>
          <w:color w:val="000000"/>
          <w:sz w:val="28"/>
          <w:szCs w:val="28"/>
        </w:rPr>
        <w:t xml:space="preserve">https://www.graivoron.ru/deyatelnost/zemelnye-i-imushestvennye-otnosheniya/kompleksnye-kadastrovye-raboty-kkr/.</w:t>
      </w:r>
      <w:r/>
    </w:p>
    <w:p>
      <w:pPr>
        <w:pStyle w:val="688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Управлению муниципальной собственности и земельных ресурсов администрации Грайворонского городского округа (Зайцев А.В.) обеспечить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установленном действующим законодательством порядке внесение в Единый государственный реестр недвижимости сведений о земельных участках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 местоположении на них зданий, сооружений, объектов незавершенного строительства, полученных в результате выполнения комплексных кадастровых работ.</w:t>
      </w:r>
      <w:r/>
    </w:p>
    <w:p>
      <w:pPr>
        <w:pStyle w:val="688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сетевом издании «Родной край 31» (</w:t>
      </w:r>
      <w:r>
        <w:rPr>
          <w:sz w:val="28"/>
          <w:szCs w:val="28"/>
          <w:lang w:val="en-US"/>
        </w:rPr>
        <w:t xml:space="preserve">rodkray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www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graivoron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оставляю за собой.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ind w:right="-1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425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4182338"/>
      <w:docPartObj>
        <w:docPartGallery w:val="Page Numbers (Top of Page)"/>
        <w:docPartUnique w:val="true"/>
      </w:docPartObj>
      <w:rPr/>
    </w:sdtPr>
    <w:sdtContent>
      <w:p>
        <w:pPr>
          <w:pStyle w:val="68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6"/>
    <w:next w:val="66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6"/>
    <w:next w:val="66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6"/>
    <w:next w:val="66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6"/>
    <w:next w:val="66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6"/>
    <w:next w:val="66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6"/>
    <w:next w:val="66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6"/>
    <w:next w:val="66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6"/>
    <w:next w:val="66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6"/>
    <w:next w:val="66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6"/>
    <w:next w:val="66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7"/>
    <w:link w:val="32"/>
    <w:uiPriority w:val="10"/>
    <w:rPr>
      <w:sz w:val="48"/>
      <w:szCs w:val="48"/>
    </w:rPr>
  </w:style>
  <w:style w:type="paragraph" w:styleId="34">
    <w:name w:val="Subtitle"/>
    <w:basedOn w:val="666"/>
    <w:next w:val="66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7"/>
    <w:link w:val="34"/>
    <w:uiPriority w:val="11"/>
    <w:rPr>
      <w:sz w:val="24"/>
      <w:szCs w:val="24"/>
    </w:rPr>
  </w:style>
  <w:style w:type="paragraph" w:styleId="36">
    <w:name w:val="Quote"/>
    <w:basedOn w:val="666"/>
    <w:next w:val="66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6"/>
    <w:next w:val="66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7"/>
    <w:link w:val="689"/>
    <w:uiPriority w:val="99"/>
  </w:style>
  <w:style w:type="character" w:styleId="43">
    <w:name w:val="Footer Char"/>
    <w:basedOn w:val="667"/>
    <w:link w:val="691"/>
    <w:uiPriority w:val="99"/>
  </w:style>
  <w:style w:type="paragraph" w:styleId="44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91"/>
    <w:uiPriority w:val="99"/>
  </w:style>
  <w:style w:type="table" w:styleId="46">
    <w:name w:val="Table Grid"/>
    <w:basedOn w:val="66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6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7"/>
    <w:uiPriority w:val="99"/>
    <w:unhideWhenUsed/>
    <w:rPr>
      <w:vertAlign w:val="superscript"/>
    </w:rPr>
  </w:style>
  <w:style w:type="paragraph" w:styleId="176">
    <w:name w:val="endnote text"/>
    <w:basedOn w:val="66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7"/>
    <w:uiPriority w:val="99"/>
    <w:semiHidden/>
    <w:unhideWhenUsed/>
    <w:rPr>
      <w:vertAlign w:val="superscript"/>
    </w:rPr>
  </w:style>
  <w:style w:type="paragraph" w:styleId="179">
    <w:name w:val="toc 1"/>
    <w:basedOn w:val="666"/>
    <w:next w:val="66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6"/>
    <w:next w:val="66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6"/>
    <w:next w:val="66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6"/>
    <w:next w:val="66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6"/>
    <w:next w:val="66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6"/>
    <w:next w:val="66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6"/>
    <w:next w:val="66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6"/>
    <w:next w:val="66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6"/>
    <w:next w:val="66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667" w:default="1">
    <w:name w:val="Default Paragraph Font"/>
    <w:uiPriority w:val="1"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paragraph" w:styleId="670">
    <w:name w:val="Body Text"/>
    <w:basedOn w:val="666"/>
    <w:link w:val="671"/>
    <w:pPr>
      <w:spacing w:after="120"/>
    </w:pPr>
    <w:rPr>
      <w:sz w:val="20"/>
      <w:szCs w:val="20"/>
    </w:rPr>
  </w:style>
  <w:style w:type="character" w:styleId="671" w:customStyle="1">
    <w:name w:val="Основной текст Знак"/>
    <w:basedOn w:val="667"/>
    <w:link w:val="670"/>
    <w:rPr>
      <w:rFonts w:ascii="Times New Roman" w:hAnsi="Times New Roman" w:cs="Times New Roman"/>
    </w:rPr>
  </w:style>
  <w:style w:type="paragraph" w:styleId="672">
    <w:name w:val="Body Text Indent 2"/>
    <w:basedOn w:val="666"/>
    <w:link w:val="673"/>
    <w:pPr>
      <w:ind w:left="283"/>
      <w:spacing w:after="120" w:line="480" w:lineRule="auto"/>
    </w:pPr>
    <w:rPr>
      <w:sz w:val="20"/>
      <w:szCs w:val="20"/>
    </w:rPr>
  </w:style>
  <w:style w:type="character" w:styleId="673" w:customStyle="1">
    <w:name w:val="Основной текст с отступом 2 Знак"/>
    <w:basedOn w:val="667"/>
    <w:link w:val="672"/>
    <w:rPr>
      <w:rFonts w:ascii="Times New Roman" w:hAnsi="Times New Roman" w:cs="Times New Roman"/>
    </w:rPr>
  </w:style>
  <w:style w:type="paragraph" w:styleId="674">
    <w:name w:val="Balloon Text"/>
    <w:basedOn w:val="666"/>
    <w:link w:val="675"/>
    <w:uiPriority w:val="99"/>
    <w:semiHidden/>
    <w:unhideWhenUsed/>
    <w:rPr>
      <w:rFonts w:ascii="Tahoma" w:hAnsi="Tahoma" w:cs="Tahoma"/>
      <w:sz w:val="16"/>
      <w:szCs w:val="16"/>
    </w:rPr>
  </w:style>
  <w:style w:type="character" w:styleId="675" w:customStyle="1">
    <w:name w:val="Текст выноски Знак"/>
    <w:basedOn w:val="667"/>
    <w:link w:val="674"/>
    <w:uiPriority w:val="99"/>
    <w:semiHidden/>
    <w:rPr>
      <w:rFonts w:ascii="Tahoma" w:hAnsi="Tahoma" w:cs="Tahoma"/>
      <w:sz w:val="16"/>
      <w:szCs w:val="16"/>
    </w:rPr>
  </w:style>
  <w:style w:type="paragraph" w:styleId="676" w:customStyle="1">
    <w:name w:val="ConsPlusNormal"/>
    <w:uiPriority w:val="99"/>
    <w:pPr>
      <w:jc w:val="both"/>
      <w:widowControl w:val="off"/>
    </w:pPr>
    <w:rPr>
      <w:rFonts w:ascii="Arial" w:hAnsi="Arial" w:cs="Arial"/>
    </w:rPr>
  </w:style>
  <w:style w:type="paragraph" w:styleId="677">
    <w:name w:val="List Paragraph"/>
    <w:basedOn w:val="666"/>
    <w:uiPriority w:val="34"/>
    <w:qFormat/>
    <w:pPr>
      <w:contextualSpacing/>
      <w:ind w:left="720"/>
    </w:pPr>
  </w:style>
  <w:style w:type="paragraph" w:styleId="678">
    <w:name w:val="Normal (Web)"/>
    <w:basedOn w:val="666"/>
    <w:uiPriority w:val="99"/>
    <w:unhideWhenUsed/>
    <w:pPr>
      <w:spacing w:before="100" w:beforeAutospacing="1" w:after="100" w:afterAutospacing="1"/>
    </w:pPr>
  </w:style>
  <w:style w:type="paragraph" w:styleId="679" w:customStyle="1">
    <w:name w:val="paragraph"/>
    <w:basedOn w:val="666"/>
    <w:pPr>
      <w:spacing w:before="100" w:beforeAutospacing="1" w:after="100" w:afterAutospacing="1"/>
    </w:pPr>
  </w:style>
  <w:style w:type="character" w:styleId="680" w:customStyle="1">
    <w:name w:val="normaltextrun"/>
    <w:basedOn w:val="667"/>
  </w:style>
  <w:style w:type="character" w:styleId="681" w:customStyle="1">
    <w:name w:val="scxw111914594"/>
    <w:basedOn w:val="667"/>
  </w:style>
  <w:style w:type="character" w:styleId="682" w:customStyle="1">
    <w:name w:val="eop"/>
    <w:basedOn w:val="667"/>
  </w:style>
  <w:style w:type="character" w:styleId="683" w:customStyle="1">
    <w:name w:val="tabchar"/>
    <w:basedOn w:val="667"/>
  </w:style>
  <w:style w:type="character" w:styleId="684" w:customStyle="1">
    <w:name w:val="spellingerror"/>
    <w:basedOn w:val="667"/>
  </w:style>
  <w:style w:type="character" w:styleId="685" w:customStyle="1">
    <w:name w:val="Основной текст (2)_"/>
    <w:basedOn w:val="667"/>
    <w:link w:val="686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686" w:customStyle="1">
    <w:name w:val="Основной текст (2)"/>
    <w:basedOn w:val="666"/>
    <w:link w:val="685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687" w:customStyle="1">
    <w:name w:val="docdata"/>
    <w:basedOn w:val="666"/>
    <w:pPr>
      <w:spacing w:before="100" w:beforeAutospacing="1" w:after="100" w:afterAutospacing="1"/>
    </w:pPr>
  </w:style>
  <w:style w:type="paragraph" w:styleId="688" w:customStyle="1">
    <w:name w:val="Default"/>
    <w:rPr>
      <w:rFonts w:ascii="Times New Roman" w:hAnsi="Times New Roman" w:cs="Times New Roman"/>
      <w:color w:val="000000"/>
      <w:sz w:val="24"/>
      <w:szCs w:val="24"/>
    </w:rPr>
  </w:style>
  <w:style w:type="paragraph" w:styleId="689">
    <w:name w:val="Header"/>
    <w:basedOn w:val="666"/>
    <w:link w:val="69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0" w:customStyle="1">
    <w:name w:val="Верхний колонтитул Знак"/>
    <w:basedOn w:val="667"/>
    <w:link w:val="689"/>
    <w:uiPriority w:val="99"/>
    <w:rPr>
      <w:rFonts w:ascii="Times New Roman" w:hAnsi="Times New Roman" w:cs="Times New Roman"/>
      <w:sz w:val="24"/>
      <w:szCs w:val="24"/>
    </w:rPr>
  </w:style>
  <w:style w:type="paragraph" w:styleId="691">
    <w:name w:val="Footer"/>
    <w:basedOn w:val="666"/>
    <w:link w:val="69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2" w:customStyle="1">
    <w:name w:val="Нижний колонтитул Знак"/>
    <w:basedOn w:val="667"/>
    <w:link w:val="691"/>
    <w:uiPriority w:val="99"/>
    <w:rPr>
      <w:rFonts w:ascii="Times New Roman" w:hAnsi="Times New Roman" w:cs="Times New Roman"/>
      <w:sz w:val="24"/>
      <w:szCs w:val="24"/>
    </w:rPr>
  </w:style>
  <w:style w:type="character" w:styleId="693">
    <w:name w:val="Hyperlink"/>
    <w:basedOn w:val="667"/>
    <w:uiPriority w:val="99"/>
    <w:unhideWhenUsed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E5F86C23-566B-4667-A162-C9829727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18</cp:revision>
  <dcterms:created xsi:type="dcterms:W3CDTF">2021-07-21T11:06:00Z</dcterms:created>
  <dcterms:modified xsi:type="dcterms:W3CDTF">2022-10-28T11:47:52Z</dcterms:modified>
</cp:coreProperties>
</file>