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86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6774105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86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86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86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86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86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86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86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86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РАСПОРЯЖЕНИЕ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86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86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86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86"/>
        <w:jc w:val="both"/>
        <w:rPr>
          <w:sz w:val="22"/>
        </w:rPr>
      </w:pPr>
      <w:r>
        <w:rPr>
          <w:b/>
          <w:sz w:val="22"/>
          <w:szCs w:val="18"/>
        </w:rPr>
        <w:t xml:space="preserve">«__24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_марта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 xml:space="preserve">             </w:t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_267-р_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686"/>
        <w:jc w:val="center"/>
      </w:pPr>
      <w:r>
        <w:rPr>
          <w:b/>
        </w:rPr>
      </w:r>
      <w:r>
        <w:rPr>
          <w:b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>
        <w:trPr>
          <w:trHeight w:val="290"/>
        </w:trPr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О подведении итогов 20</w:t>
            </w:r>
            <w:r>
              <w:rPr>
                <w:b/>
                <w:color w:val="0D0D0D"/>
                <w:sz w:val="28"/>
                <w:szCs w:val="28"/>
              </w:rPr>
              <w:t xml:space="preserve">22</w:t>
            </w:r>
            <w:r>
              <w:rPr>
                <w:b/>
                <w:color w:val="0D0D0D"/>
                <w:sz w:val="28"/>
                <w:szCs w:val="28"/>
              </w:rPr>
              <w:t xml:space="preserve"> года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и </w:t>
            </w:r>
            <w:r>
              <w:rPr>
                <w:b/>
                <w:color w:val="0D0D0D"/>
                <w:sz w:val="28"/>
                <w:szCs w:val="28"/>
              </w:rPr>
              <w:t xml:space="preserve">чествовании</w:t>
            </w:r>
            <w:r>
              <w:rPr>
                <w:b/>
                <w:color w:val="0D0D0D"/>
                <w:sz w:val="28"/>
                <w:szCs w:val="28"/>
              </w:rPr>
              <w:t xml:space="preserve"> передовиков предприятий </w:t>
            </w:r>
            <w:r>
              <w:rPr>
                <w:b/>
                <w:color w:val="0D0D0D"/>
                <w:sz w:val="28"/>
                <w:szCs w:val="28"/>
              </w:rPr>
              <w:br/>
            </w:r>
            <w:r>
              <w:rPr>
                <w:b/>
                <w:color w:val="0D0D0D"/>
                <w:sz w:val="28"/>
                <w:szCs w:val="28"/>
              </w:rPr>
              <w:t xml:space="preserve">и организаций Грайворонского городского округ</w:t>
            </w:r>
            <w:r>
              <w:rPr>
                <w:b/>
                <w:color w:val="0D0D0D"/>
                <w:sz w:val="28"/>
                <w:szCs w:val="28"/>
              </w:rPr>
              <w:t xml:space="preserve">а</w:t>
            </w:r>
            <w:r/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Рассмотрев показатели работы коллективов предприятий и организаций Грайворонского городского округа в 2022 году: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За наивысший вклад в развитие народного хозяйства Грайворонского городского округа, высокие показатели в трудовой деятельнос</w:t>
      </w:r>
      <w:r>
        <w:rPr>
          <w:color w:val="0D0D0D"/>
          <w:sz w:val="28"/>
          <w:szCs w:val="28"/>
        </w:rPr>
        <w:t xml:space="preserve">ти по итогам работы за 2022 год, </w:t>
      </w:r>
      <w:r>
        <w:rPr>
          <w:color w:val="0D0D0D"/>
          <w:sz w:val="28"/>
          <w:szCs w:val="28"/>
        </w:rPr>
        <w:t xml:space="preserve">присвоить звание «Лучший по профессии 2022 года», 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</w:rPr>
        <w:t xml:space="preserve">с занесением на районную Доску Почета, с вручением Почетной грамоты главы администрации Грайворонского городского округа и денежной премии: 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1.1.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 xml:space="preserve">Трактористу-машинисту: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Мороз Сергею Петровичу, трактористу-машинист</w:t>
      </w:r>
      <w:r>
        <w:rPr>
          <w:sz w:val="28"/>
          <w:szCs w:val="28"/>
        </w:rPr>
        <w:t xml:space="preserve">у ООО</w:t>
      </w:r>
      <w:r>
        <w:rPr>
          <w:sz w:val="28"/>
          <w:szCs w:val="28"/>
        </w:rPr>
        <w:t xml:space="preserve"> «Чистые </w:t>
      </w:r>
      <w:r>
        <w:rPr>
          <w:sz w:val="28"/>
          <w:szCs w:val="28"/>
        </w:rPr>
        <w:t xml:space="preserve">пруды», достигшему выработки на тракторе МТЗ-80 и тракторе Т-150 - </w:t>
      </w:r>
      <w:r>
        <w:rPr>
          <w:sz w:val="28"/>
          <w:szCs w:val="28"/>
        </w:rPr>
        <w:br/>
        <w:t xml:space="preserve">3 090 условных эталонных гектаров и намолотившему на комбайне </w:t>
      </w:r>
      <w:r>
        <w:rPr>
          <w:sz w:val="28"/>
          <w:szCs w:val="28"/>
        </w:rPr>
        <w:br/>
        <w:t xml:space="preserve">«Акрос-585» 2 005 тонн зерна;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Адась</w:t>
      </w:r>
      <w:r>
        <w:rPr>
          <w:sz w:val="28"/>
          <w:szCs w:val="28"/>
        </w:rPr>
        <w:t xml:space="preserve"> Сергею Николаевичу, трактористу-машинисту </w:t>
      </w:r>
      <w:r>
        <w:rPr>
          <w:sz w:val="28"/>
          <w:szCs w:val="28"/>
        </w:rPr>
        <w:br/>
        <w:t xml:space="preserve">ЗАО «Большевик», достигшему выработки 1 224 условных эталонных гектаров на тракторе МТЗ-82 и намолотившему 4 444 тонны зерна на комбайне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«Акрос-585»;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Матяш</w:t>
      </w:r>
      <w:r>
        <w:rPr>
          <w:sz w:val="28"/>
          <w:szCs w:val="28"/>
        </w:rPr>
        <w:t xml:space="preserve"> Сергею Алексеевичу, трактористу-машинист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br/>
        <w:t xml:space="preserve"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Грайворон-агроинвест</w:t>
      </w:r>
      <w:r>
        <w:rPr>
          <w:sz w:val="28"/>
          <w:szCs w:val="28"/>
        </w:rPr>
        <w:t xml:space="preserve">», достигшему выработки 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559 условных </w:t>
      </w:r>
      <w:r>
        <w:rPr>
          <w:sz w:val="28"/>
          <w:szCs w:val="28"/>
        </w:rPr>
        <w:t xml:space="preserve">эталонных гектаров на тракторе МТЗ-80 и тракторе </w:t>
      </w:r>
      <w:r>
        <w:rPr>
          <w:sz w:val="28"/>
          <w:szCs w:val="28"/>
          <w:lang w:val="en-US"/>
        </w:rPr>
        <w:t xml:space="preserve"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Holland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T</w:t>
      </w:r>
      <w:r>
        <w:rPr>
          <w:sz w:val="28"/>
          <w:szCs w:val="28"/>
        </w:rPr>
        <w:t xml:space="preserve">9;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Липовскому</w:t>
      </w:r>
      <w:r>
        <w:rPr>
          <w:sz w:val="28"/>
          <w:szCs w:val="28"/>
        </w:rPr>
        <w:t xml:space="preserve"> Сергею Сергеевичу, трактористу-машинисту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ООО «</w:t>
      </w:r>
      <w:r>
        <w:rPr>
          <w:sz w:val="28"/>
          <w:szCs w:val="28"/>
        </w:rPr>
        <w:t xml:space="preserve">Грайворон-агроинвест</w:t>
      </w:r>
      <w:r>
        <w:rPr>
          <w:sz w:val="28"/>
          <w:szCs w:val="28"/>
        </w:rPr>
        <w:t xml:space="preserve">», достигшему выработки 3 100 условных гектаров </w:t>
      </w:r>
      <w:r>
        <w:rPr>
          <w:sz w:val="28"/>
          <w:szCs w:val="28"/>
        </w:rPr>
        <w:br/>
        <w:t xml:space="preserve">на тракторе МТЗ 12-21 и тракторе </w:t>
      </w:r>
      <w:r>
        <w:rPr>
          <w:sz w:val="28"/>
          <w:szCs w:val="28"/>
          <w:lang w:val="en-US"/>
        </w:rPr>
        <w:t xml:space="preserve">Holmer</w:t>
      </w:r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, обработавшему 6 100 гектаров</w:t>
      </w:r>
      <w:r>
        <w:rPr>
          <w:sz w:val="28"/>
          <w:szCs w:val="28"/>
        </w:rPr>
        <w:t xml:space="preserve">  опрыскивателем </w:t>
      </w:r>
      <w:r>
        <w:rPr>
          <w:sz w:val="28"/>
          <w:szCs w:val="28"/>
          <w:lang w:val="en-US"/>
        </w:rPr>
        <w:t xml:space="preserve">John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Deere</w:t>
      </w:r>
      <w:r>
        <w:rPr>
          <w:sz w:val="28"/>
          <w:szCs w:val="28"/>
        </w:rPr>
        <w:t xml:space="preserve"> 732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Оператору свиноводче</w:t>
      </w:r>
      <w:r>
        <w:rPr>
          <w:sz w:val="28"/>
          <w:szCs w:val="28"/>
        </w:rPr>
        <w:t xml:space="preserve">ских комплексов участка откорма </w:t>
      </w:r>
      <w:r>
        <w:rPr>
          <w:sz w:val="28"/>
          <w:szCs w:val="28"/>
        </w:rPr>
        <w:t xml:space="preserve">Бобровой Раде Вячеславовне, оператору свиноводческих комплексов участка откорм</w:t>
      </w:r>
      <w:r>
        <w:rPr>
          <w:sz w:val="28"/>
          <w:szCs w:val="28"/>
        </w:rPr>
        <w:t xml:space="preserve">а ООО</w:t>
      </w:r>
      <w:r>
        <w:rPr>
          <w:sz w:val="28"/>
          <w:szCs w:val="28"/>
        </w:rPr>
        <w:t xml:space="preserve"> «Грайворонский свинокомплекс-2», достигшей на откорме свиней </w:t>
      </w:r>
      <w:r>
        <w:rPr>
          <w:sz w:val="28"/>
          <w:szCs w:val="28"/>
        </w:rPr>
        <w:t xml:space="preserve">среднесуточного привеса 831 грамм и сохранности поголовья 97 процентов.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Оператору участка опороса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Михайленко</w:t>
      </w:r>
      <w:r>
        <w:rPr>
          <w:sz w:val="28"/>
          <w:szCs w:val="28"/>
        </w:rPr>
        <w:t xml:space="preserve"> Кристине Владимировне, старшему оператору участка осеменения и ожидания производственной площадки Новостроевка-1 ООО «</w:t>
      </w:r>
      <w:r>
        <w:rPr>
          <w:sz w:val="28"/>
          <w:szCs w:val="28"/>
        </w:rPr>
        <w:t xml:space="preserve">ГРАЙВОРОНСКИЙ СВИНОКОМПЛЕКС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достигшей </w:t>
      </w:r>
      <w:r>
        <w:rPr>
          <w:sz w:val="28"/>
          <w:szCs w:val="28"/>
        </w:rPr>
        <w:t xml:space="preserve">оплодотворяемости</w:t>
      </w:r>
      <w:r>
        <w:rPr>
          <w:sz w:val="28"/>
          <w:szCs w:val="28"/>
        </w:rPr>
        <w:t xml:space="preserve"> на участке воспроизводства 86,1 процента </w:t>
      </w:r>
      <w:r>
        <w:rPr>
          <w:sz w:val="28"/>
          <w:szCs w:val="28"/>
        </w:rPr>
        <w:br/>
        <w:t xml:space="preserve">при нормативе 82 процента, получившей выход поросят от одной свиноматки</w:t>
      </w:r>
      <w:r>
        <w:rPr>
          <w:sz w:val="28"/>
          <w:szCs w:val="28"/>
        </w:rPr>
        <w:t xml:space="preserve"> 12,6 голов.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Оператору птиц</w:t>
      </w:r>
      <w:r>
        <w:rPr>
          <w:sz w:val="28"/>
          <w:szCs w:val="28"/>
        </w:rPr>
        <w:t xml:space="preserve">ефабрик и механизированных ферм </w:t>
      </w:r>
      <w:r>
        <w:rPr>
          <w:sz w:val="28"/>
          <w:szCs w:val="28"/>
        </w:rPr>
        <w:t xml:space="preserve">Ковалевой Оксане Викторовне, оператору птицефабрик и механизированных ферм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ООО «</w:t>
      </w:r>
      <w:r>
        <w:rPr>
          <w:sz w:val="28"/>
          <w:szCs w:val="28"/>
        </w:rPr>
        <w:t xml:space="preserve">Кобб-Раша</w:t>
      </w:r>
      <w:r>
        <w:rPr>
          <w:sz w:val="28"/>
          <w:szCs w:val="28"/>
        </w:rPr>
        <w:t xml:space="preserve">», достигшей производства валового яйца на начальную несушку 123,8 при нормативе 106,5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Batang"/>
          <w:sz w:val="28"/>
          <w:szCs w:val="28"/>
        </w:rPr>
        <w:t xml:space="preserve">Зоотехнику</w:t>
      </w:r>
      <w:r>
        <w:rPr>
          <w:rFonts w:eastAsia="Batang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Петряковой Анне Михайловне, зоотехник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ООО</w:t>
      </w:r>
      <w:r>
        <w:rPr>
          <w:sz w:val="28"/>
          <w:szCs w:val="28"/>
        </w:rPr>
        <w:t xml:space="preserve"> «Заречье», добившейся надоя на одну корову по молочно-товарной ферме </w:t>
      </w:r>
      <w:r>
        <w:rPr>
          <w:sz w:val="28"/>
          <w:szCs w:val="28"/>
        </w:rPr>
        <w:t xml:space="preserve">7 947 килограммов</w:t>
      </w:r>
      <w:bookmarkStart w:id="0" w:name="_GoBack"/>
      <w:r/>
      <w:bookmarkEnd w:id="0"/>
      <w:r>
        <w:rPr>
          <w:sz w:val="28"/>
          <w:szCs w:val="28"/>
        </w:rPr>
        <w:t xml:space="preserve"> и 100-процентной сохранности поголовья телят.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Главному бухгалтеру </w:t>
      </w:r>
      <w:r>
        <w:rPr>
          <w:color w:val="000000"/>
          <w:sz w:val="28"/>
          <w:szCs w:val="28"/>
        </w:rPr>
        <w:t xml:space="preserve">Войцеховской </w:t>
      </w:r>
      <w:r>
        <w:rPr>
          <w:color w:val="000000"/>
          <w:sz w:val="28"/>
          <w:szCs w:val="28"/>
        </w:rPr>
        <w:t xml:space="preserve">Анжелике</w:t>
      </w:r>
      <w:r>
        <w:rPr>
          <w:color w:val="000000"/>
          <w:sz w:val="28"/>
          <w:szCs w:val="28"/>
        </w:rPr>
        <w:t xml:space="preserve"> Анатольевне, главному бухгалтер</w:t>
      </w:r>
      <w:r>
        <w:rPr>
          <w:color w:val="000000"/>
          <w:sz w:val="28"/>
          <w:szCs w:val="28"/>
        </w:rPr>
        <w:t xml:space="preserve">у ООО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Козинское</w:t>
      </w:r>
      <w:r>
        <w:rPr>
          <w:color w:val="000000"/>
          <w:sz w:val="28"/>
          <w:szCs w:val="28"/>
        </w:rPr>
        <w:t xml:space="preserve">», за многолетний добросовестный труд и профессионализм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Коллективу сельскохозяйственного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предприятия за большой вклад в развитие агропромышленной отрасли, достижение высоких производственных показателей по итогам за 2022 год, с присвоением звания «Лучшее сельскохозяйственное предприятие 2022 года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крестьянскому фермерскому хозяйству «Возрождение», глава </w:t>
      </w:r>
      <w:r>
        <w:rPr>
          <w:color w:val="000000"/>
          <w:sz w:val="28"/>
          <w:szCs w:val="28"/>
        </w:rPr>
        <w:t xml:space="preserve">КФХ </w:t>
      </w:r>
      <w:r>
        <w:rPr>
          <w:color w:val="000000"/>
          <w:sz w:val="28"/>
          <w:szCs w:val="28"/>
        </w:rPr>
        <w:t xml:space="preserve">Горягин</w:t>
      </w:r>
      <w:r>
        <w:rPr>
          <w:color w:val="000000"/>
          <w:sz w:val="28"/>
          <w:szCs w:val="28"/>
        </w:rPr>
        <w:t xml:space="preserve"> Игорь Александрович.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00000"/>
          <w:sz w:val="28"/>
          <w:szCs w:val="28"/>
        </w:rPr>
        <w:t xml:space="preserve">1.8.</w:t>
      </w:r>
      <w:r>
        <w:rPr>
          <w:color w:val="000000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 xml:space="preserve">Работникам сферы </w:t>
      </w:r>
      <w:r>
        <w:rPr>
          <w:color w:val="000000"/>
          <w:sz w:val="28"/>
          <w:szCs w:val="28"/>
        </w:rPr>
        <w:t xml:space="preserve">услуг</w:t>
      </w:r>
      <w:r>
        <w:rPr>
          <w:color w:val="0D0D0D"/>
          <w:sz w:val="28"/>
          <w:szCs w:val="28"/>
        </w:rPr>
        <w:t xml:space="preserve"> за профессионализм и высокое качество обслуживания населения: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Синице Евгению Игоревичу, главному инженеру района электрических сетей Грайворонского района электрических сетей филиала ПАО «</w:t>
      </w:r>
      <w:r>
        <w:rPr>
          <w:color w:val="0D0D0D"/>
          <w:sz w:val="28"/>
          <w:szCs w:val="28"/>
        </w:rPr>
        <w:t xml:space="preserve">Россети</w:t>
      </w:r>
      <w:r>
        <w:rPr>
          <w:color w:val="0D0D0D"/>
          <w:sz w:val="28"/>
          <w:szCs w:val="28"/>
        </w:rPr>
        <w:t xml:space="preserve"> Центр» - «</w:t>
      </w:r>
      <w:r>
        <w:rPr>
          <w:color w:val="0D0D0D"/>
          <w:sz w:val="28"/>
          <w:szCs w:val="28"/>
        </w:rPr>
        <w:t xml:space="preserve">Белгородэнерго</w:t>
      </w:r>
      <w:r>
        <w:rPr>
          <w:color w:val="0D0D0D"/>
          <w:sz w:val="28"/>
          <w:szCs w:val="28"/>
        </w:rPr>
        <w:t xml:space="preserve">»;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Микусу</w:t>
      </w:r>
      <w:r>
        <w:rPr>
          <w:color w:val="0D0D0D"/>
          <w:sz w:val="28"/>
          <w:szCs w:val="28"/>
        </w:rPr>
        <w:t xml:space="preserve"> Роману Петровичу, помощнику генерального директора - контролеру технического состояния транспортных средств </w:t>
      </w:r>
      <w:r>
        <w:rPr>
          <w:color w:val="0D0D0D"/>
          <w:sz w:val="28"/>
          <w:szCs w:val="28"/>
        </w:rPr>
        <w:br/>
        <w:t xml:space="preserve">ООО «Грайворонское ТП»;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Шмелёву Виктору Владиславовичу, монтажник</w:t>
      </w:r>
      <w:r>
        <w:rPr>
          <w:color w:val="0D0D0D"/>
          <w:sz w:val="28"/>
          <w:szCs w:val="28"/>
        </w:rPr>
        <w:t xml:space="preserve">у </w:t>
      </w:r>
      <w:r>
        <w:rPr>
          <w:color w:val="0D0D0D"/>
          <w:sz w:val="28"/>
          <w:szCs w:val="28"/>
        </w:rPr>
        <w:br/>
        <w:t xml:space="preserve">ООО</w:t>
      </w:r>
      <w:r>
        <w:rPr>
          <w:color w:val="0D0D0D"/>
          <w:sz w:val="28"/>
          <w:szCs w:val="28"/>
        </w:rPr>
        <w:t xml:space="preserve"> «Грайворонское РСУ»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1.9.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sz w:val="28"/>
          <w:szCs w:val="28"/>
        </w:rPr>
        <w:t xml:space="preserve">Коллективу </w:t>
      </w:r>
      <w:r>
        <w:rPr>
          <w:color w:val="000000"/>
          <w:sz w:val="28"/>
          <w:szCs w:val="28"/>
        </w:rPr>
        <w:t xml:space="preserve">предприятия сферы жилищно-коммунальных услуг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br/>
      </w:r>
      <w:r>
        <w:rPr>
          <w:sz w:val="28"/>
          <w:szCs w:val="28"/>
        </w:rPr>
        <w:t xml:space="preserve">за отличную работу, высокое качество обслуживания населения по итогам работы за 2022 год, с присвоением звания «Лучшее предприятие сферы услуг 2022 года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«Центр жилищно-коммунальных услуг «Грайворонский», директор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Фролов Геннадий Викторович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418" w:leader="none"/>
        </w:tabs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1.10.</w:t>
      </w:r>
      <w:r>
        <w:rPr>
          <w:sz w:val="28"/>
          <w:szCs w:val="28"/>
        </w:rPr>
        <w:tab/>
        <w:t xml:space="preserve">Работникам сферы торговли и общественного питания </w:t>
      </w:r>
      <w:r>
        <w:rPr>
          <w:sz w:val="28"/>
          <w:szCs w:val="28"/>
        </w:rPr>
        <w:br/>
      </w:r>
      <w:r>
        <w:rPr>
          <w:rFonts w:eastAsia="Batang"/>
          <w:sz w:val="28"/>
          <w:szCs w:val="28"/>
        </w:rPr>
        <w:t xml:space="preserve">за добросовестный труд и высокое качество обслуживания населения: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Бондарю Леониду Викторовичу, индивидуальному предпринимателю;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Диденко Людмиле Викторовне, повару кофейни «Зодиак»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ИП Суркова Е.А.;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Нарижной Нине Егоровне, продавцу магазина</w:t>
      </w:r>
      <w:r>
        <w:rPr>
          <w:sz w:val="28"/>
          <w:szCs w:val="28"/>
        </w:rPr>
        <w:t xml:space="preserve"> «Продукты» </w:t>
      </w:r>
      <w:r>
        <w:rPr>
          <w:sz w:val="28"/>
          <w:szCs w:val="28"/>
        </w:rPr>
        <w:br/>
        <w:t xml:space="preserve">ИП </w:t>
      </w:r>
      <w:r>
        <w:rPr>
          <w:sz w:val="28"/>
          <w:szCs w:val="28"/>
        </w:rPr>
        <w:t xml:space="preserve">Павлюченко</w:t>
      </w:r>
      <w:r>
        <w:rPr>
          <w:sz w:val="28"/>
          <w:szCs w:val="28"/>
        </w:rPr>
        <w:t xml:space="preserve"> В.В.</w:t>
      </w:r>
      <w:r/>
    </w:p>
    <w:p>
      <w:pPr>
        <w:ind w:firstLine="709"/>
        <w:jc w:val="both"/>
        <w:tabs>
          <w:tab w:val="left" w:pos="1134" w:leader="none"/>
        </w:tabs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1.11.</w:t>
      </w:r>
      <w:r>
        <w:rPr>
          <w:rFonts w:eastAsia="Batang"/>
          <w:sz w:val="28"/>
          <w:szCs w:val="28"/>
        </w:rPr>
        <w:tab/>
        <w:t xml:space="preserve">Сотруднику органов внутренних дел Российской Федерации </w:t>
      </w:r>
      <w:r>
        <w:rPr>
          <w:rFonts w:eastAsia="Batang"/>
          <w:sz w:val="28"/>
          <w:szCs w:val="28"/>
        </w:rPr>
        <w:br/>
        <w:t xml:space="preserve">за добросовестную службу, образцовое вы</w:t>
      </w:r>
      <w:r>
        <w:rPr>
          <w:rFonts w:eastAsia="Batang"/>
          <w:sz w:val="28"/>
          <w:szCs w:val="28"/>
        </w:rPr>
        <w:t xml:space="preserve">полнение служебных обязанностей </w:t>
      </w:r>
      <w:r>
        <w:rPr>
          <w:rFonts w:eastAsia="Batang"/>
          <w:i/>
          <w:sz w:val="28"/>
          <w:szCs w:val="28"/>
        </w:rPr>
        <w:t xml:space="preserve">– </w:t>
      </w:r>
      <w:r>
        <w:rPr>
          <w:rFonts w:eastAsia="Batang"/>
          <w:sz w:val="28"/>
          <w:szCs w:val="28"/>
        </w:rPr>
        <w:t xml:space="preserve">Дерекуленко</w:t>
      </w:r>
      <w:r>
        <w:rPr>
          <w:rFonts w:eastAsia="Batang"/>
          <w:sz w:val="28"/>
          <w:szCs w:val="28"/>
        </w:rPr>
        <w:t xml:space="preserve"> Руслану Юрьевичу, участковому уполномоченному полиции отдела участковых уполномоченных полиции и по делам несовершеннолетних ОМВД России по Г</w:t>
      </w:r>
      <w:r>
        <w:rPr>
          <w:rFonts w:eastAsia="Batang"/>
          <w:sz w:val="28"/>
          <w:szCs w:val="28"/>
        </w:rPr>
        <w:t xml:space="preserve">райворонскому городскому округу.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1.12.</w:t>
      </w:r>
      <w:r>
        <w:rPr>
          <w:color w:val="0D0D0D"/>
          <w:sz w:val="28"/>
          <w:szCs w:val="28"/>
        </w:rPr>
        <w:tab/>
        <w:t xml:space="preserve">Работникам сферы здравоохранения за добросовестный труд </w:t>
      </w:r>
      <w:r>
        <w:rPr>
          <w:color w:val="0D0D0D"/>
          <w:sz w:val="28"/>
          <w:szCs w:val="28"/>
        </w:rPr>
        <w:br/>
        <w:t xml:space="preserve">и личный вклад в дело по укреплению здоровья населения: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Маркевич</w:t>
      </w:r>
      <w:r>
        <w:rPr>
          <w:color w:val="000000"/>
          <w:sz w:val="28"/>
          <w:szCs w:val="28"/>
        </w:rPr>
        <w:t xml:space="preserve"> Юлии Ивановне, заведующей терапевтическим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отделением – врачу терапевту ОГБУЗ «Грайворонская ЦРБ»;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Секач Нине Федоровне, медицинской сестре палатной (постовой) терапевтического отделения ОГБУЗ «Грайворонская ЦРБ»;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Синице Елене Михайловне, санитарке хирургического отделения </w:t>
      </w:r>
      <w:r>
        <w:rPr>
          <w:color w:val="000000"/>
          <w:sz w:val="28"/>
          <w:szCs w:val="28"/>
        </w:rPr>
        <w:br/>
        <w:t xml:space="preserve">ОГБУЗ «Грайворонская ЦРБ»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1.13.</w:t>
      </w:r>
      <w:r>
        <w:rPr>
          <w:color w:val="0D0D0D"/>
          <w:sz w:val="28"/>
          <w:szCs w:val="28"/>
        </w:rPr>
        <w:tab/>
        <w:t xml:space="preserve">Работникам сферы социального обслуживания населения </w:t>
      </w:r>
      <w:r>
        <w:rPr>
          <w:color w:val="0D0D0D"/>
          <w:sz w:val="28"/>
          <w:szCs w:val="28"/>
        </w:rPr>
        <w:br/>
        <w:t xml:space="preserve">за добросовестную работу и качественное предоставление социальных услуг населению: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Калугиной Элладе Николаевне, медицинской сестре ГБСУСОССЗН «Грайворонский дом социального обслуживания имени Почетного гражданина Грайворонского района П.К. </w:t>
      </w:r>
      <w:r>
        <w:rPr>
          <w:color w:val="0D0D0D"/>
          <w:sz w:val="28"/>
          <w:szCs w:val="28"/>
        </w:rPr>
        <w:t xml:space="preserve">Бедненко</w:t>
      </w:r>
      <w:r>
        <w:rPr>
          <w:color w:val="0D0D0D"/>
          <w:sz w:val="28"/>
          <w:szCs w:val="28"/>
        </w:rPr>
        <w:t xml:space="preserve">»;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Рыковой Татьяне Васильевне, начальнику отдела по работе 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</w:rPr>
        <w:t xml:space="preserve">с льготными категориями граждан и информационного сопровождения граждан </w:t>
      </w:r>
      <w:r>
        <w:rPr>
          <w:color w:val="0D0D0D"/>
          <w:sz w:val="28"/>
          <w:szCs w:val="28"/>
        </w:rPr>
        <w:br/>
        <w:t xml:space="preserve">УСЗН администрации Грайворонского городского округа;</w:t>
      </w:r>
      <w:r/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Анпиловой</w:t>
      </w:r>
      <w:r>
        <w:rPr>
          <w:color w:val="0D0D0D"/>
          <w:sz w:val="28"/>
          <w:szCs w:val="28"/>
        </w:rPr>
        <w:t xml:space="preserve"> Наталье Алексеевне, социальному работнику отделения социального обслуживания на дому граждан пожилого возраста и инвалидов МБУСОССЗН «КЦСОН Грайворонского городского округа»;</w:t>
      </w:r>
      <w:r/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1.14.</w:t>
      </w:r>
      <w:r>
        <w:rPr>
          <w:color w:val="0D0D0D"/>
          <w:sz w:val="28"/>
          <w:szCs w:val="28"/>
        </w:rPr>
        <w:tab/>
        <w:t xml:space="preserve">Работникам сферы культуры за активную творческую деятельность по повышению уровня культуры и искусства населения:</w:t>
      </w:r>
      <w:r/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Ковалевой Раисе Михайловне, директору Дунайского сельского модельного дома культуры МБУК «</w:t>
      </w:r>
      <w:r>
        <w:rPr>
          <w:color w:val="0D0D0D"/>
          <w:sz w:val="28"/>
          <w:szCs w:val="28"/>
        </w:rPr>
        <w:t xml:space="preserve">Культурно-досуговый</w:t>
      </w:r>
      <w:r>
        <w:rPr>
          <w:color w:val="0D0D0D"/>
          <w:sz w:val="28"/>
          <w:szCs w:val="28"/>
        </w:rPr>
        <w:t xml:space="preserve"> центр» Грайворонского городского округа;</w:t>
      </w:r>
      <w:r/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Секач Юлии Сергеевне, ведущему консультанту отдела туризма </w:t>
      </w:r>
      <w:r>
        <w:rPr>
          <w:color w:val="0D0D0D"/>
          <w:sz w:val="28"/>
          <w:szCs w:val="28"/>
        </w:rPr>
        <w:br/>
        <w:t xml:space="preserve">и народных промыслов управления культуры и молодёжной политики администрации Грайворонского городского округа;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Коллективу </w:t>
      </w:r>
      <w:r>
        <w:rPr>
          <w:sz w:val="28"/>
          <w:szCs w:val="28"/>
        </w:rPr>
        <w:t xml:space="preserve">Глотовского</w:t>
      </w:r>
      <w:r>
        <w:rPr>
          <w:sz w:val="28"/>
          <w:szCs w:val="28"/>
        </w:rPr>
        <w:t xml:space="preserve"> сельского Дома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МБУК «</w:t>
      </w:r>
      <w:r>
        <w:rPr>
          <w:sz w:val="28"/>
          <w:szCs w:val="28"/>
        </w:rPr>
        <w:t xml:space="preserve">Культурно-досуговый</w:t>
      </w:r>
      <w:r>
        <w:rPr>
          <w:sz w:val="28"/>
          <w:szCs w:val="28"/>
        </w:rPr>
        <w:t xml:space="preserve"> центр» Грайворонского городского округа, директор Кравченко Людмила Семеновна, за весомый вклад </w:t>
      </w:r>
      <w:r>
        <w:rPr>
          <w:sz w:val="28"/>
          <w:szCs w:val="28"/>
        </w:rPr>
        <w:br/>
        <w:t xml:space="preserve">в организацию культурно-просветительской деятельности Грайворонского городского округа, развитие творческого потенциала, активное участие </w:t>
      </w:r>
      <w:r>
        <w:rPr>
          <w:sz w:val="28"/>
          <w:szCs w:val="28"/>
        </w:rPr>
        <w:br/>
        <w:t xml:space="preserve">в областных и районных культурно-массовых мероприятиях, </w:t>
      </w:r>
      <w:r>
        <w:rPr>
          <w:sz w:val="28"/>
          <w:szCs w:val="28"/>
        </w:rPr>
        <w:br/>
        <w:t xml:space="preserve">с присвоением звания «Лучшая организация культурно-просветительской деятельности 2022</w:t>
      </w:r>
      <w:r>
        <w:rPr>
          <w:sz w:val="28"/>
          <w:szCs w:val="28"/>
        </w:rPr>
        <w:t xml:space="preserve"> года».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1.16.</w:t>
      </w:r>
      <w:r>
        <w:rPr>
          <w:color w:val="0D0D0D"/>
          <w:sz w:val="28"/>
          <w:szCs w:val="28"/>
        </w:rPr>
        <w:tab/>
        <w:t xml:space="preserve">Работнику сферы физической культуры и спорта </w:t>
      </w:r>
      <w:r>
        <w:rPr>
          <w:color w:val="0D0D0D"/>
          <w:sz w:val="28"/>
          <w:szCs w:val="28"/>
        </w:rPr>
        <w:br/>
        <w:t xml:space="preserve">за профессиональную работу, достижение успехов в спорте и развитии физической культуры</w:t>
      </w:r>
      <w:r>
        <w:rPr>
          <w:color w:val="0D0D0D"/>
          <w:sz w:val="28"/>
          <w:szCs w:val="28"/>
        </w:rPr>
        <w:t xml:space="preserve"> - </w:t>
      </w:r>
      <w:r>
        <w:rPr>
          <w:color w:val="0D0D0D"/>
          <w:sz w:val="28"/>
          <w:szCs w:val="28"/>
        </w:rPr>
        <w:t xml:space="preserve">Линнику</w:t>
      </w:r>
      <w:r>
        <w:rPr>
          <w:color w:val="0D0D0D"/>
          <w:sz w:val="28"/>
          <w:szCs w:val="28"/>
        </w:rPr>
        <w:t xml:space="preserve"> Юрию Ивановичу, тренеру муниципального </w:t>
      </w:r>
      <w:r>
        <w:rPr>
          <w:color w:val="0D0D0D"/>
          <w:sz w:val="28"/>
          <w:szCs w:val="28"/>
        </w:rPr>
        <w:t xml:space="preserve">бюджетного учреждения «Спортивная школа олимпийского резерва» 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</w:rPr>
        <w:t xml:space="preserve">г</w:t>
      </w:r>
      <w:r>
        <w:rPr>
          <w:color w:val="0D0D0D"/>
          <w:sz w:val="28"/>
          <w:szCs w:val="28"/>
        </w:rPr>
        <w:t xml:space="preserve">. Грайворона.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1.17.</w:t>
      </w:r>
      <w:r>
        <w:rPr>
          <w:color w:val="0D0D0D"/>
          <w:sz w:val="28"/>
          <w:szCs w:val="28"/>
        </w:rPr>
        <w:tab/>
        <w:t xml:space="preserve">Спортсмену, принимающему активное участие в судействе региональных, областных и районных соревнований по гиревому спорту</w:t>
      </w:r>
      <w:r>
        <w:rPr>
          <w:color w:val="0D0D0D"/>
          <w:sz w:val="28"/>
          <w:szCs w:val="28"/>
        </w:rPr>
        <w:t xml:space="preserve"> - </w:t>
      </w:r>
      <w:r>
        <w:rPr>
          <w:color w:val="0D0D0D"/>
          <w:sz w:val="28"/>
          <w:szCs w:val="28"/>
        </w:rPr>
        <w:t xml:space="preserve">Тирон</w:t>
      </w:r>
      <w:r>
        <w:rPr>
          <w:sz w:val="28"/>
          <w:szCs w:val="28"/>
        </w:rPr>
        <w:t xml:space="preserve">у</w:t>
      </w:r>
      <w:r>
        <w:rPr>
          <w:color w:val="0D0D0D"/>
          <w:sz w:val="28"/>
          <w:szCs w:val="28"/>
        </w:rPr>
        <w:t xml:space="preserve"> Евгению Александровичу, прапорщику вой</w:t>
      </w:r>
      <w:r>
        <w:rPr>
          <w:color w:val="0D0D0D"/>
          <w:sz w:val="28"/>
          <w:szCs w:val="28"/>
        </w:rPr>
        <w:t xml:space="preserve">сковой части </w:t>
      </w:r>
      <w:r>
        <w:rPr>
          <w:color w:val="0D0D0D"/>
          <w:sz w:val="28"/>
          <w:szCs w:val="28"/>
        </w:rPr>
        <w:br/>
        <w:t xml:space="preserve">25624 Белгород-22.</w:t>
      </w:r>
      <w:r/>
    </w:p>
    <w:p>
      <w:pPr>
        <w:ind w:firstLine="709"/>
        <w:jc w:val="both"/>
        <w:tabs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1.18.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Коллективу муниципального бюджетного дошкольного образовательного учреждения «Детский сад комбинированного вида «Капелька» города Грайворона Грайворонского района Белгородской области, за успехи в организации и совершенствовании учебного </w:t>
      </w:r>
      <w:r>
        <w:rPr>
          <w:color w:val="0D0D0D"/>
          <w:sz w:val="28"/>
          <w:szCs w:val="28"/>
        </w:rPr>
        <w:br/>
        <w:t xml:space="preserve">и воспитательного процессов </w:t>
      </w:r>
      <w:r>
        <w:rPr>
          <w:sz w:val="28"/>
          <w:szCs w:val="28"/>
        </w:rPr>
        <w:t xml:space="preserve">по итогам работы за 2022 год, с присвоением звания «Лучшее дошкольное образовательное учреждение 2022 года».</w:t>
      </w:r>
      <w:r/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1.19.</w:t>
      </w:r>
      <w:r>
        <w:rPr>
          <w:color w:val="0D0D0D"/>
          <w:sz w:val="28"/>
          <w:szCs w:val="28"/>
        </w:rPr>
        <w:tab/>
        <w:t xml:space="preserve">Работникам сферы образования за высокий профессиональный уровень, творческий подход к воспитательно-образовательному процессу учащихся:</w:t>
      </w:r>
      <w:r/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Моисеев</w:t>
      </w:r>
      <w:r>
        <w:rPr>
          <w:color w:val="0D0D0D"/>
          <w:sz w:val="28"/>
          <w:szCs w:val="28"/>
        </w:rPr>
        <w:t xml:space="preserve">ой Елене Александровне, учителю истории и обществознания муниципального бюджетного общеобразовательного учреждения «Средняя общеобразовательная школа с углубленным изучением отдельных предметов» города Грайворона Грайворонского района Белгородской области;</w:t>
      </w:r>
      <w:r/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-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Кулик Наталье Андреевне, воспитателю муниципального бюджетного дошкольного образовательного учреждения «Детский сад комбинированного вида «Капелька» города Грайворона Грайворонского района Белгородской области;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1.20.</w:t>
      </w:r>
      <w:r>
        <w:rPr>
          <w:sz w:val="28"/>
          <w:szCs w:val="28"/>
        </w:rPr>
        <w:tab/>
        <w:t xml:space="preserve">Учащейся среднего общеобразовательного учреждения </w:t>
      </w:r>
      <w:r>
        <w:rPr>
          <w:sz w:val="28"/>
          <w:szCs w:val="28"/>
        </w:rPr>
        <w:br/>
        <w:t xml:space="preserve">за отличную учёбу, достижение успехов в олимпиадах и конкурсах, активное участие в общественной жизни Г</w:t>
      </w:r>
      <w:r>
        <w:rPr>
          <w:sz w:val="28"/>
          <w:szCs w:val="28"/>
        </w:rPr>
        <w:t xml:space="preserve">райворонского городского округа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Ворониной Веронике Сергеевне, учащейся муниципального бюджетного общеобразовательного учреждения «Головчинская средняя общеобразовательная школа с углубленным изучением отдельных предметов» Грайворонск</w:t>
      </w:r>
      <w:r>
        <w:rPr>
          <w:sz w:val="28"/>
          <w:szCs w:val="28"/>
        </w:rPr>
        <w:t xml:space="preserve">ого района Белгородской области.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1.21.</w:t>
      </w:r>
      <w:r>
        <w:rPr>
          <w:sz w:val="28"/>
          <w:szCs w:val="28"/>
        </w:rPr>
        <w:tab/>
        <w:t xml:space="preserve">Студенту высшего учебного заведения за отличную учебу, целеустремленность, успехи в совершенствовании интеллектуального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культурного развития личности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Буковцову</w:t>
      </w:r>
      <w:r>
        <w:rPr>
          <w:sz w:val="28"/>
          <w:szCs w:val="28"/>
        </w:rPr>
        <w:t xml:space="preserve"> Артему Александровичу, студенту 5 курса, кафедры механического оборудования,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ФГБОУ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технологический университет </w:t>
      </w:r>
      <w:r>
        <w:rPr>
          <w:sz w:val="28"/>
          <w:szCs w:val="28"/>
        </w:rPr>
        <w:br/>
        <w:t xml:space="preserve">им. В.Г. Шухова».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1.22.</w:t>
      </w:r>
      <w:r>
        <w:rPr>
          <w:color w:val="000000"/>
          <w:sz w:val="28"/>
          <w:szCs w:val="28"/>
        </w:rPr>
        <w:tab/>
        <w:t xml:space="preserve">За активную деятельность по развитию общественного самоуправления Грайворонского городского округа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Перцевой Ирине Александровне, председателю Совета по развитию Доброивановской сельской территории, члену Общественной палаты Грайворонского городского округа Белгородской области, заведующей </w:t>
      </w:r>
      <w:r>
        <w:rPr>
          <w:color w:val="000000"/>
          <w:sz w:val="28"/>
          <w:szCs w:val="28"/>
        </w:rPr>
        <w:t xml:space="preserve">Замостянским</w:t>
      </w:r>
      <w:r>
        <w:rPr>
          <w:color w:val="000000"/>
          <w:sz w:val="28"/>
          <w:szCs w:val="28"/>
        </w:rPr>
        <w:t xml:space="preserve"> сельским клубом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1.23.</w:t>
      </w:r>
      <w:r>
        <w:rPr>
          <w:color w:val="000000"/>
          <w:sz w:val="28"/>
          <w:szCs w:val="28"/>
        </w:rPr>
        <w:tab/>
        <w:t xml:space="preserve">За многолетний добросовестный труд, оперативное, качественное выполнение поставленных зад</w:t>
      </w:r>
      <w:r>
        <w:rPr>
          <w:color w:val="000000"/>
          <w:sz w:val="28"/>
          <w:szCs w:val="28"/>
        </w:rPr>
        <w:t xml:space="preserve">ач и активную жизненную позицию 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Серых Надежде Николаевне, </w:t>
      </w:r>
      <w:r>
        <w:rPr>
          <w:sz w:val="28"/>
          <w:szCs w:val="28"/>
        </w:rPr>
        <w:t xml:space="preserve">заместителю начальника управления – главе </w:t>
      </w:r>
      <w:r>
        <w:rPr>
          <w:sz w:val="28"/>
          <w:szCs w:val="28"/>
        </w:rPr>
        <w:t xml:space="preserve">Мокроорловской</w:t>
      </w:r>
      <w:r>
        <w:rPr>
          <w:sz w:val="28"/>
          <w:szCs w:val="28"/>
        </w:rPr>
        <w:t xml:space="preserve"> территориальной администрации западного территориального управления администрации Грайворонского городского округа.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Вручить Благодарственное письмо главы администрации Грайворонского городского округа и денежную премию 23 лучшим студентам Грайворонского городского округа, обучающимся на «отлично» в высших учебных заведениях: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  <w:t xml:space="preserve">Кушнареву Дмитрию Романовичу, ФГБОУ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технологический университет им. В.Г. Шухова», транспортно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технологический институт, направление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технология транспортных процессов, 4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Налесник</w:t>
      </w:r>
      <w:r>
        <w:rPr>
          <w:sz w:val="28"/>
          <w:szCs w:val="28"/>
        </w:rPr>
        <w:t xml:space="preserve"> Анне Сергеевне,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экономики и управления, направление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технология бизнеса и сервиса, 2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Буковцовой</w:t>
      </w:r>
      <w:r>
        <w:rPr>
          <w:sz w:val="28"/>
          <w:szCs w:val="28"/>
        </w:rPr>
        <w:t xml:space="preserve"> Маргарите Алексеевне,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дошкольного, начального и специального образования, педагогическое образование по профилю «Дошкольное </w:t>
      </w:r>
      <w:r>
        <w:rPr>
          <w:sz w:val="28"/>
          <w:szCs w:val="28"/>
        </w:rPr>
        <w:br/>
        <w:t xml:space="preserve">и начальное образование», 1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Бережной Анне Евгеньевне,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иностранных языков педагогическое образование по профилю «Иностранный язык» (английский, немецкий), 2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Забродину</w:t>
      </w:r>
      <w:r>
        <w:rPr>
          <w:sz w:val="28"/>
          <w:szCs w:val="28"/>
        </w:rPr>
        <w:t xml:space="preserve"> Константину Сергеевичу,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иностранных языков, педагогическое образование по профилю «Иностранный язык» (английский, немецкий), 4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Зябковой</w:t>
      </w:r>
      <w:r>
        <w:rPr>
          <w:sz w:val="28"/>
          <w:szCs w:val="28"/>
        </w:rPr>
        <w:t xml:space="preserve"> Полине Евгеньевне,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экономики и управления, 2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Михайловой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Дарье Сергеевне,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иностранных языков, педагогическое образование по профилю «Иностранный язык» (английский, немецкий), 3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Цой</w:t>
      </w:r>
      <w:r>
        <w:rPr>
          <w:sz w:val="28"/>
          <w:szCs w:val="28"/>
        </w:rPr>
        <w:t xml:space="preserve"> Кириллу Владимировичу,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медицинский институт, специальность «Лечебное дело», 4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Василенко Юлии Александровне,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фармации, химии и биологии, направление подготовки «Химия»,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Доценко </w:t>
      </w:r>
      <w:r>
        <w:rPr>
          <w:sz w:val="28"/>
          <w:szCs w:val="28"/>
        </w:rPr>
        <w:t xml:space="preserve">Эвелине</w:t>
      </w:r>
      <w:r>
        <w:rPr>
          <w:sz w:val="28"/>
          <w:szCs w:val="28"/>
        </w:rPr>
        <w:t xml:space="preserve"> Евгеньевне,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инженерных и цифровых технологий, направление подготовки «</w:t>
      </w:r>
      <w:r>
        <w:rPr>
          <w:sz w:val="28"/>
          <w:szCs w:val="28"/>
        </w:rPr>
        <w:t xml:space="preserve">Инфокоммуникационные</w:t>
      </w:r>
      <w:r>
        <w:rPr>
          <w:sz w:val="28"/>
          <w:szCs w:val="28"/>
        </w:rPr>
        <w:t xml:space="preserve"> технологии и системы связи»,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Доценко Полине Евгеньевне,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инженерных и цифровых технологий, направление подготовки «</w:t>
      </w:r>
      <w:r>
        <w:rPr>
          <w:sz w:val="28"/>
          <w:szCs w:val="28"/>
        </w:rPr>
        <w:t xml:space="preserve">Инфокоммуникационные</w:t>
      </w:r>
      <w:r>
        <w:rPr>
          <w:sz w:val="28"/>
          <w:szCs w:val="28"/>
        </w:rPr>
        <w:t xml:space="preserve"> технологии и системы связи»,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Придацкому</w:t>
      </w:r>
      <w:r>
        <w:rPr>
          <w:sz w:val="28"/>
          <w:szCs w:val="28"/>
        </w:rPr>
        <w:t xml:space="preserve"> Владимиру Александровичу,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медицинский институт, специальность «Лечебное дело», 1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Михайленко</w:t>
      </w:r>
      <w:r>
        <w:rPr>
          <w:sz w:val="28"/>
          <w:szCs w:val="28"/>
        </w:rPr>
        <w:t xml:space="preserve"> Софии Андреевне,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дошкольного, начального и специального образования, педагогическое образование по профилю «Начальное образование»,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  <w:t xml:space="preserve">Г</w:t>
      </w:r>
      <w:r>
        <w:rPr>
          <w:sz w:val="28"/>
          <w:szCs w:val="28"/>
        </w:rPr>
        <w:t xml:space="preserve">ордиенко Ирине Игоревне,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дошкольного, начального и специального образования, педагогическое образование по профилю «Начальное образование»,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Бражник Екатерине Андреевне,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физической культуры, педагогическое образование по профилю Педагогические технологии в физической культуре, магистратура 2 курс; 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Артёмовой Ксении Александровне, ФГБОУ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технологический университет им. В.Г. Шухова»,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программная инженерия, 4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Пашковой Валерии Сергеевне, ФГБОУ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технологический университет им. В.Г. Шухова»,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информационная безопасность автоматизированных систем,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Бабыниной</w:t>
      </w:r>
      <w:r>
        <w:rPr>
          <w:sz w:val="28"/>
          <w:szCs w:val="28"/>
        </w:rPr>
        <w:t xml:space="preserve"> Екатерине Николаевне,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институт экономики и управления, направление подготовки «Экономика»,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Никулину Дмитрию Юрьевичу, ФГБУ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аграрный университет имени В.Я. Горина», инженерный факультет, направление подготовки «</w:t>
      </w:r>
      <w:r>
        <w:rPr>
          <w:sz w:val="28"/>
          <w:szCs w:val="28"/>
        </w:rPr>
        <w:t xml:space="preserve">Агроинженерия</w:t>
      </w:r>
      <w:r>
        <w:rPr>
          <w:sz w:val="28"/>
          <w:szCs w:val="28"/>
        </w:rPr>
        <w:t xml:space="preserve">», 4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Кушнаревой Анастасии Сергеевне, ФГБУ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аграрный университет имени В.Я. Горина», технологический факультет, направление подготовки «Технология производства и переработки сельскохозяйственной продукции», 4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убцовой</w:t>
      </w:r>
      <w:r>
        <w:rPr>
          <w:sz w:val="28"/>
          <w:szCs w:val="28"/>
        </w:rPr>
        <w:t xml:space="preserve"> Надежде Сергеевне,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иностранных языков, педагогическое образование по профилю «Иностранный язык» (английский, немецкий), 3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Капралову</w:t>
      </w:r>
      <w:r>
        <w:rPr>
          <w:sz w:val="28"/>
          <w:szCs w:val="28"/>
        </w:rPr>
        <w:t xml:space="preserve"> Олегу Владимировичу, ФГАОУ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национальный исследовательский университет», педагогический институт, факультет математики и естественнонаучного образования, педагогическое образование по профилю «Математика </w:t>
      </w:r>
      <w:r>
        <w:rPr>
          <w:sz w:val="28"/>
          <w:szCs w:val="28"/>
        </w:rPr>
        <w:br/>
        <w:t xml:space="preserve">и информатика», 5 курс;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Горбатовской</w:t>
      </w:r>
      <w:r>
        <w:rPr>
          <w:sz w:val="28"/>
          <w:szCs w:val="28"/>
        </w:rPr>
        <w:t xml:space="preserve"> Анастасии Николаевне, ФГБОУ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 «Белгородский государственный технологический университет им. В.Г. Шухова», инженерно-строительный институт, направление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строительство, 4 курс.</w:t>
      </w:r>
      <w:r/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color w:val="0D0D0D"/>
          <w:sz w:val="28"/>
          <w:szCs w:val="28"/>
        </w:rPr>
        <w:t xml:space="preserve">3.</w:t>
      </w:r>
      <w:r>
        <w:rPr>
          <w:color w:val="0D0D0D"/>
          <w:sz w:val="28"/>
          <w:szCs w:val="28"/>
        </w:rPr>
        <w:tab/>
        <w:t xml:space="preserve">Отделу муниципальной службы и кадров аппарата главы администрации</w:t>
      </w:r>
      <w:r>
        <w:rPr>
          <w:color w:val="0D0D0D"/>
          <w:sz w:val="28"/>
          <w:szCs w:val="28"/>
        </w:rPr>
        <w:t xml:space="preserve"> Грайворонского</w:t>
      </w:r>
      <w:r>
        <w:rPr>
          <w:color w:val="0D0D0D"/>
          <w:sz w:val="28"/>
          <w:szCs w:val="28"/>
        </w:rPr>
        <w:t xml:space="preserve"> городского округа (Нестеренко Н.И.) обеспечить изготовление Почетных грамот и Благодарственных писем главы администрации Грайворонского городского округа. </w:t>
      </w:r>
      <w:r/>
    </w:p>
    <w:p>
      <w:pPr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4.</w:t>
      </w:r>
      <w:r>
        <w:rPr>
          <w:color w:val="0D0D0D"/>
          <w:sz w:val="28"/>
          <w:szCs w:val="28"/>
        </w:rPr>
        <w:tab/>
      </w:r>
      <w:r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распоряжение</w:t>
      </w:r>
      <w:r>
        <w:rPr>
          <w:sz w:val="28"/>
          <w:szCs w:val="28"/>
        </w:rPr>
        <w:t xml:space="preserve">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spacing w:before="5" w:line="317" w:lineRule="exact"/>
        <w:shd w:val="clear" w:color="auto" w:fill="ffffff"/>
        <w:tabs>
          <w:tab w:val="left" w:pos="293" w:leader="none"/>
          <w:tab w:val="left" w:pos="851" w:leader="none"/>
          <w:tab w:val="left" w:pos="1134" w:leader="none"/>
          <w:tab w:val="left" w:pos="1418" w:leader="none"/>
          <w:tab w:val="left" w:pos="5021" w:leader="none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5.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Контроль за</w:t>
      </w:r>
      <w:r>
        <w:rPr>
          <w:color w:val="0D0D0D"/>
          <w:sz w:val="28"/>
          <w:szCs w:val="28"/>
        </w:rPr>
        <w:t xml:space="preserve"> исполнением распоряжения возложить на з</w:t>
      </w:r>
      <w:r>
        <w:rPr>
          <w:color w:val="000000"/>
          <w:sz w:val="28"/>
          <w:szCs w:val="28"/>
        </w:rPr>
        <w:t xml:space="preserve">аместителя главы администрации городского округа - руководителя аппарата главы </w:t>
      </w:r>
      <w:r>
        <w:rPr>
          <w:sz w:val="28"/>
          <w:szCs w:val="28"/>
        </w:rPr>
        <w:t xml:space="preserve">администрации Е.А. Адаменко.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Batang">
    <w:panose1 w:val="0203060000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10222"/>
      <w:docPartObj>
        <w:docPartGallery w:val="Page Numbers (Top of Page)"/>
        <w:docPartUnique w:val="true"/>
      </w:docPartObj>
      <w:rPr/>
    </w:sdtPr>
    <w:sdtContent>
      <w:p>
        <w:pPr>
          <w:pStyle w:val="70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9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  <w:b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  <w:b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  <w:b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  <w:b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  <w:b/>
        <w:color w:val="auto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2" w:hanging="564"/>
      </w:pPr>
      <w:rPr>
        <w:rFonts w:hint="default"/>
        <w:b/>
      </w:rPr>
    </w:lvl>
    <w:lvl w:ilvl="1">
      <w:start w:val="2"/>
      <w:numFmt w:val="decimal"/>
      <w:isLgl/>
      <w:suff w:val="tab"/>
      <w:lvlText w:val="%1.%2."/>
      <w:lvlJc w:val="left"/>
      <w:pPr>
        <w:ind w:left="1513" w:hanging="804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513" w:hanging="804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14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6"/>
    <w:next w:val="68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8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6"/>
    <w:next w:val="68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8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6"/>
    <w:next w:val="68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8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6"/>
    <w:next w:val="68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8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6"/>
    <w:next w:val="68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8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6"/>
    <w:next w:val="68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8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6"/>
    <w:next w:val="68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8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6"/>
    <w:next w:val="68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8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6"/>
    <w:next w:val="68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8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86"/>
    <w:next w:val="68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87"/>
    <w:link w:val="32"/>
    <w:uiPriority w:val="10"/>
    <w:rPr>
      <w:sz w:val="48"/>
      <w:szCs w:val="48"/>
    </w:rPr>
  </w:style>
  <w:style w:type="paragraph" w:styleId="34">
    <w:name w:val="Subtitle"/>
    <w:basedOn w:val="686"/>
    <w:next w:val="68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87"/>
    <w:link w:val="34"/>
    <w:uiPriority w:val="11"/>
    <w:rPr>
      <w:sz w:val="24"/>
      <w:szCs w:val="24"/>
    </w:rPr>
  </w:style>
  <w:style w:type="paragraph" w:styleId="36">
    <w:name w:val="Quote"/>
    <w:basedOn w:val="686"/>
    <w:next w:val="68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6"/>
    <w:next w:val="68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7"/>
    <w:link w:val="707"/>
    <w:uiPriority w:val="99"/>
  </w:style>
  <w:style w:type="character" w:styleId="43">
    <w:name w:val="Footer Char"/>
    <w:basedOn w:val="687"/>
    <w:link w:val="709"/>
    <w:uiPriority w:val="99"/>
  </w:style>
  <w:style w:type="paragraph" w:styleId="44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9"/>
    <w:uiPriority w:val="99"/>
  </w:style>
  <w:style w:type="table" w:styleId="47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8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7"/>
    <w:uiPriority w:val="99"/>
    <w:unhideWhenUsed/>
    <w:rPr>
      <w:vertAlign w:val="superscript"/>
    </w:rPr>
  </w:style>
  <w:style w:type="paragraph" w:styleId="176">
    <w:name w:val="endnote text"/>
    <w:basedOn w:val="68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7"/>
    <w:uiPriority w:val="99"/>
    <w:semiHidden/>
    <w:unhideWhenUsed/>
    <w:rPr>
      <w:vertAlign w:val="superscript"/>
    </w:rPr>
  </w:style>
  <w:style w:type="paragraph" w:styleId="179">
    <w:name w:val="toc 1"/>
    <w:basedOn w:val="686"/>
    <w:next w:val="68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6"/>
    <w:next w:val="68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6"/>
    <w:next w:val="68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6"/>
    <w:next w:val="68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6"/>
    <w:next w:val="68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6"/>
    <w:next w:val="68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6"/>
    <w:next w:val="68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6"/>
    <w:next w:val="68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6"/>
    <w:next w:val="68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6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Body Text"/>
    <w:basedOn w:val="686"/>
    <w:link w:val="691"/>
    <w:pPr>
      <w:spacing w:after="120"/>
    </w:pPr>
    <w:rPr>
      <w:sz w:val="20"/>
      <w:szCs w:val="20"/>
    </w:rPr>
  </w:style>
  <w:style w:type="character" w:styleId="691" w:customStyle="1">
    <w:name w:val="Основной текст Знак"/>
    <w:basedOn w:val="687"/>
    <w:link w:val="690"/>
    <w:rPr>
      <w:rFonts w:ascii="Times New Roman" w:hAnsi="Times New Roman" w:cs="Times New Roman"/>
    </w:rPr>
  </w:style>
  <w:style w:type="paragraph" w:styleId="692">
    <w:name w:val="Body Text Indent 2"/>
    <w:basedOn w:val="686"/>
    <w:link w:val="693"/>
    <w:pPr>
      <w:ind w:left="283"/>
      <w:spacing w:after="120" w:line="480" w:lineRule="auto"/>
    </w:pPr>
    <w:rPr>
      <w:sz w:val="20"/>
      <w:szCs w:val="20"/>
    </w:rPr>
  </w:style>
  <w:style w:type="character" w:styleId="693" w:customStyle="1">
    <w:name w:val="Основной текст с отступом 2 Знак"/>
    <w:basedOn w:val="687"/>
    <w:link w:val="692"/>
    <w:rPr>
      <w:rFonts w:ascii="Times New Roman" w:hAnsi="Times New Roman" w:cs="Times New Roman"/>
    </w:rPr>
  </w:style>
  <w:style w:type="paragraph" w:styleId="694">
    <w:name w:val="Balloon Text"/>
    <w:basedOn w:val="686"/>
    <w:link w:val="695"/>
    <w:uiPriority w:val="99"/>
    <w:semiHidden/>
    <w:unhideWhenUsed/>
    <w:rPr>
      <w:rFonts w:ascii="Tahoma" w:hAnsi="Tahoma" w:cs="Tahoma"/>
      <w:sz w:val="16"/>
      <w:szCs w:val="16"/>
    </w:rPr>
  </w:style>
  <w:style w:type="character" w:styleId="695" w:customStyle="1">
    <w:name w:val="Текст выноски Знак"/>
    <w:basedOn w:val="687"/>
    <w:link w:val="694"/>
    <w:uiPriority w:val="99"/>
    <w:semiHidden/>
    <w:rPr>
      <w:rFonts w:ascii="Tahoma" w:hAnsi="Tahoma" w:cs="Tahoma"/>
      <w:sz w:val="16"/>
      <w:szCs w:val="16"/>
    </w:rPr>
  </w:style>
  <w:style w:type="paragraph" w:styleId="696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97">
    <w:name w:val="List Paragraph"/>
    <w:basedOn w:val="686"/>
    <w:uiPriority w:val="34"/>
    <w:qFormat/>
    <w:pPr>
      <w:contextualSpacing/>
      <w:ind w:left="720"/>
    </w:pPr>
  </w:style>
  <w:style w:type="paragraph" w:styleId="698">
    <w:name w:val="Normal (Web)"/>
    <w:basedOn w:val="686"/>
    <w:uiPriority w:val="99"/>
    <w:unhideWhenUsed/>
    <w:pPr>
      <w:spacing w:before="100" w:beforeAutospacing="1" w:after="100" w:afterAutospacing="1"/>
    </w:pPr>
  </w:style>
  <w:style w:type="paragraph" w:styleId="699" w:customStyle="1">
    <w:name w:val="paragraph"/>
    <w:basedOn w:val="686"/>
    <w:pPr>
      <w:spacing w:before="100" w:beforeAutospacing="1" w:after="100" w:afterAutospacing="1"/>
    </w:pPr>
  </w:style>
  <w:style w:type="character" w:styleId="700" w:customStyle="1">
    <w:name w:val="normaltextrun"/>
    <w:basedOn w:val="687"/>
  </w:style>
  <w:style w:type="character" w:styleId="701" w:customStyle="1">
    <w:name w:val="scxw111914594"/>
    <w:basedOn w:val="687"/>
  </w:style>
  <w:style w:type="character" w:styleId="702" w:customStyle="1">
    <w:name w:val="eop"/>
    <w:basedOn w:val="687"/>
  </w:style>
  <w:style w:type="character" w:styleId="703" w:customStyle="1">
    <w:name w:val="tabchar"/>
    <w:basedOn w:val="687"/>
  </w:style>
  <w:style w:type="character" w:styleId="704" w:customStyle="1">
    <w:name w:val="spellingerror"/>
    <w:basedOn w:val="687"/>
  </w:style>
  <w:style w:type="character" w:styleId="705" w:customStyle="1">
    <w:name w:val="Основной текст (2)_"/>
    <w:basedOn w:val="687"/>
    <w:link w:val="706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706" w:customStyle="1">
    <w:name w:val="Основной текст (2)"/>
    <w:basedOn w:val="686"/>
    <w:link w:val="705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07">
    <w:name w:val="Header"/>
    <w:basedOn w:val="686"/>
    <w:link w:val="7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8" w:customStyle="1">
    <w:name w:val="Верхний колонтитул Знак"/>
    <w:basedOn w:val="687"/>
    <w:link w:val="707"/>
    <w:uiPriority w:val="99"/>
    <w:rPr>
      <w:rFonts w:ascii="Times New Roman" w:hAnsi="Times New Roman" w:cs="Times New Roman"/>
      <w:sz w:val="24"/>
      <w:szCs w:val="24"/>
    </w:rPr>
  </w:style>
  <w:style w:type="paragraph" w:styleId="709">
    <w:name w:val="Footer"/>
    <w:basedOn w:val="686"/>
    <w:link w:val="71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10" w:customStyle="1">
    <w:name w:val="Нижний колонтитул Знак"/>
    <w:basedOn w:val="687"/>
    <w:link w:val="709"/>
    <w:uiPriority w:val="99"/>
    <w:semiHidden/>
    <w:rPr>
      <w:rFonts w:ascii="Times New Roman" w:hAnsi="Times New Roman" w:cs="Times New Roman"/>
      <w:sz w:val="24"/>
      <w:szCs w:val="24"/>
    </w:rPr>
  </w:style>
  <w:style w:type="table" w:styleId="711">
    <w:name w:val="Table Grid"/>
    <w:basedOn w:val="688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2">
    <w:name w:val="Hyperlink"/>
    <w:basedOn w:val="687"/>
    <w:uiPriority w:val="99"/>
    <w:unhideWhenUsed/>
    <w:rPr>
      <w:color w:val="0000FF" w:themeColor="hyperlink"/>
      <w:u w:val="single"/>
    </w:rPr>
  </w:style>
  <w:style w:type="character" w:styleId="713" w:customStyle="1">
    <w:name w:val="Основной текст + 13"/>
    <w:basedOn w:val="687"/>
    <w:uiPriority w:val="99"/>
    <w:rPr>
      <w:rFonts w:ascii="Times New Roman" w:hAnsi="Times New Roman" w:cs="Times New Roman"/>
      <w:b/>
      <w:bCs/>
      <w:spacing w:val="70"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6E30C758-E2D4-4938-A382-E9846094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6</cp:revision>
  <dcterms:created xsi:type="dcterms:W3CDTF">2023-04-05T12:03:00Z</dcterms:created>
  <dcterms:modified xsi:type="dcterms:W3CDTF">2023-04-10T08:42:01Z</dcterms:modified>
</cp:coreProperties>
</file>