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798466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62"/>
        <w:jc w:val="both"/>
        <w:rPr>
          <w:sz w:val="22"/>
        </w:rPr>
      </w:pPr>
      <w:r>
        <w:rPr>
          <w:b/>
          <w:sz w:val="22"/>
          <w:szCs w:val="18"/>
        </w:rPr>
        <w:t xml:space="preserve">«_19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_892_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701"/>
        </w:trPr>
        <w:tc>
          <w:tcPr>
            <w:tcW w:w="7229" w:type="dxa"/>
            <w:textDirection w:val="lrTb"/>
            <w:noWrap w:val="false"/>
          </w:tcPr>
          <w:p>
            <w:pPr>
              <w:ind w:left="-110" w:right="-105"/>
              <w:jc w:val="center"/>
              <w:widowControl w:val="off"/>
              <w:rPr>
                <w:sz w:val="28"/>
                <w:szCs w:val="28"/>
                <w:lang w:eastAsia="zh-CN"/>
              </w:rPr>
            </w:pPr>
            <w:r>
              <w:rPr>
                <w:rStyle w:val="688"/>
                <w:sz w:val="28"/>
                <w:szCs w:val="28"/>
              </w:rPr>
              <w:t xml:space="preserve">Об утверждении </w:t>
            </w:r>
            <w:r>
              <w:rPr>
                <w:rStyle w:val="688"/>
                <w:sz w:val="28"/>
                <w:szCs w:val="28"/>
              </w:rPr>
              <w:t xml:space="preserve">основных направлений долговой политики Грайворонского городского округа </w:t>
            </w:r>
            <w:r>
              <w:rPr>
                <w:rStyle w:val="688"/>
                <w:sz w:val="28"/>
                <w:szCs w:val="28"/>
              </w:rPr>
              <w:br/>
              <w:t xml:space="preserve">на 2023 год и на плановый период 2024 и 2025 годов</w:t>
            </w:r>
            <w:r/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13</w:t>
      </w:r>
      <w:r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107.1</w:t>
      </w:r>
      <w:r>
        <w:rPr>
          <w:sz w:val="28"/>
          <w:szCs w:val="28"/>
        </w:rPr>
        <w:t xml:space="preserve"> Бюджетного кодекса Российской Федерации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pacing w:val="20"/>
          <w:sz w:val="28"/>
          <w:szCs w:val="28"/>
        </w:rPr>
        <w:t xml:space="preserve">ю:</w:t>
      </w:r>
      <w:r/>
    </w:p>
    <w:p>
      <w:pPr>
        <w:ind w:firstLine="709"/>
        <w:jc w:val="both"/>
        <w:shd w:val="clear" w:color="auto" w:fill="ffffff"/>
        <w:tabs>
          <w:tab w:val="left" w:pos="720" w:leader="none"/>
          <w:tab w:val="left" w:pos="1134" w:leader="none"/>
          <w:tab w:val="left" w:pos="6836" w:leader="underscore"/>
          <w:tab w:val="left" w:pos="7088" w:leader="none"/>
          <w:tab w:val="left" w:pos="8468" w:leader="underscore"/>
        </w:tabs>
        <w:rPr>
          <w:sz w:val="28"/>
          <w:szCs w:val="28"/>
        </w:rPr>
      </w:pPr>
      <w:r>
        <w:rPr>
          <w:rStyle w:val="689"/>
          <w:sz w:val="28"/>
          <w:szCs w:val="28"/>
        </w:rPr>
        <w:t xml:space="preserve">1.</w:t>
      </w:r>
      <w:r>
        <w:rPr>
          <w:rStyle w:val="689"/>
          <w:sz w:val="28"/>
          <w:szCs w:val="28"/>
        </w:rPr>
        <w:tab/>
      </w:r>
      <w:r>
        <w:rPr>
          <w:rStyle w:val="689"/>
          <w:sz w:val="28"/>
          <w:szCs w:val="28"/>
        </w:rPr>
        <w:t xml:space="preserve">Утвердить</w:t>
      </w:r>
      <w:r>
        <w:rPr>
          <w:rStyle w:val="689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направления долговой политики Грайворонского городского округа на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годов  (прилагается).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2.</w:t>
      </w:r>
      <w:r>
        <w:rPr>
          <w:bCs/>
          <w:color w:val="00000A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исполняющего обязанности председателя </w:t>
      </w:r>
      <w:r>
        <w:rPr>
          <w:sz w:val="28"/>
          <w:szCs w:val="28"/>
        </w:rPr>
        <w:t xml:space="preserve">комитета финансов и налоговой политики администрации Грайворонского городского округа И.Н. </w:t>
      </w:r>
      <w:r>
        <w:rPr>
          <w:sz w:val="28"/>
          <w:szCs w:val="28"/>
        </w:rPr>
        <w:t xml:space="preserve">Ягич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jc w:val="both"/>
        <w:tabs>
          <w:tab w:val="left" w:pos="1134" w:leader="none"/>
        </w:tabs>
        <w:rPr>
          <w:sz w:val="26"/>
          <w:szCs w:val="26"/>
        </w:rPr>
      </w:pPr>
      <w:r/>
      <w:bookmarkStart w:id="0" w:name="_GoBack"/>
      <w:r/>
      <w:bookmarkEnd w:id="0"/>
      <w:r/>
      <w:r/>
    </w:p>
    <w:p>
      <w:r>
        <w:br w:type="page"/>
      </w:r>
      <w:r/>
    </w:p>
    <w:tbl>
      <w:tblPr>
        <w:tblW w:w="9931" w:type="dxa"/>
        <w:tblLook w:val="01E0" w:firstRow="1" w:lastRow="1" w:firstColumn="1" w:lastColumn="1" w:noHBand="0" w:noVBand="0"/>
      </w:tblPr>
      <w:tblGrid>
        <w:gridCol w:w="4968"/>
        <w:gridCol w:w="4963"/>
      </w:tblGrid>
      <w:tr>
        <w:trPr>
          <w:trHeight w:val="1276"/>
        </w:trPr>
        <w:tc>
          <w:tcPr>
            <w:tcW w:w="496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6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Приложение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УТВЕРЖДЕН</w:t>
            </w:r>
            <w:r>
              <w:rPr>
                <w:b/>
                <w:sz w:val="26"/>
                <w:szCs w:val="26"/>
              </w:rPr>
              <w:t xml:space="preserve">Ы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постановлением администрации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Грайворонского городского округа</w:t>
            </w:r>
            <w:r/>
          </w:p>
          <w:p>
            <w:pPr>
              <w:jc w:val="center"/>
            </w:pPr>
            <w:r>
              <w:rPr>
                <w:b/>
                <w:sz w:val="26"/>
                <w:szCs w:val="26"/>
              </w:rPr>
              <w:t xml:space="preserve">от «_19_»_декабря_20</w:t>
            </w:r>
            <w:r>
              <w:rPr>
                <w:b/>
                <w:sz w:val="26"/>
                <w:szCs w:val="26"/>
              </w:rPr>
              <w:t xml:space="preserve">22 г. №_892_</w:t>
            </w:r>
            <w:r/>
          </w:p>
        </w:tc>
      </w:tr>
    </w:tbl>
    <w:p>
      <w:pPr>
        <w:ind w:firstLine="54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НАПРАВЛЕНИЯ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долговой политики Грайворонского городского округа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годов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долговой политики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годов основаны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приоритетных для </w:t>
      </w:r>
      <w:r>
        <w:rPr>
          <w:sz w:val="28"/>
          <w:szCs w:val="28"/>
        </w:rPr>
        <w:t xml:space="preserve">муниципальных образований направлениях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сокращению дефицит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мобилизации дополнительных доходных источников, оптимизации расходных обязательств и </w:t>
      </w:r>
      <w:r>
        <w:rPr>
          <w:sz w:val="28"/>
          <w:szCs w:val="28"/>
        </w:rPr>
        <w:t xml:space="preserve">снижению</w:t>
      </w:r>
      <w:r>
        <w:rPr>
          <w:sz w:val="28"/>
          <w:szCs w:val="28"/>
        </w:rPr>
        <w:t xml:space="preserve"> муниципального долга.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является производной от бюджетной политики, непосредственно связана с бюджетным процессом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и представляет собой совокупность мероприятий по регулированию объема и структуры муниципального долга, осуществлению муниципальных заимствований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поддержании приемлемого уровня риска и стоимости заимствований, обслуживанию и погашению долговых обязательств и предоставлению муниципальных гарантий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tabs>
          <w:tab w:val="left" w:pos="156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Итоги реализации долговой политики </w:t>
      </w:r>
      <w:r>
        <w:rPr>
          <w:sz w:val="28"/>
          <w:szCs w:val="28"/>
        </w:rPr>
        <w:br/>
        <w:t xml:space="preserve">Грайворонского городского округа</w:t>
      </w:r>
      <w:r/>
    </w:p>
    <w:p>
      <w:pPr>
        <w:pStyle w:val="690"/>
        <w:ind w:firstLine="720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проводимой политики ограничения, в 201</w:t>
      </w:r>
      <w:r>
        <w:rPr>
          <w:sz w:val="28"/>
          <w:szCs w:val="28"/>
        </w:rPr>
        <w:t xml:space="preserve">7-2022</w:t>
      </w:r>
      <w:r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Грайворонский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осуществлял муниципальных заимствований </w:t>
      </w:r>
      <w:r>
        <w:rPr>
          <w:sz w:val="28"/>
          <w:szCs w:val="28"/>
        </w:rPr>
        <w:t xml:space="preserve">для обеспечения расходных обязательств бюджет</w:t>
      </w:r>
      <w:r>
        <w:rPr>
          <w:sz w:val="28"/>
          <w:szCs w:val="28"/>
        </w:rPr>
        <w:t xml:space="preserve">а городского округа</w:t>
      </w:r>
      <w:r>
        <w:rPr>
          <w:sz w:val="28"/>
          <w:szCs w:val="28"/>
        </w:rPr>
        <w:t xml:space="preserve">.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бъем муниципального долга </w:t>
      </w:r>
      <w:r>
        <w:rPr>
          <w:sz w:val="28"/>
          <w:szCs w:val="28"/>
        </w:rPr>
        <w:t xml:space="preserve">Грайворонского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01 января 2022</w:t>
      </w:r>
      <w:r>
        <w:rPr>
          <w:sz w:val="28"/>
          <w:szCs w:val="28"/>
        </w:rPr>
        <w:t xml:space="preserve"> года составил 0 рублей, в том числе по муниципальным гарантиям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- 0 рублей.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исполнения бюджета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 2022</w:t>
      </w:r>
      <w:r>
        <w:rPr>
          <w:sz w:val="28"/>
          <w:szCs w:val="28"/>
        </w:rPr>
        <w:t xml:space="preserve"> год объем муниципального долга на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составит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0 рублей, в том числе по муниципальным гарантиям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- 0 рублей.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Основные факторы, определяющие характер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направления долговой политики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Грайворонского городского округа</w:t>
      </w:r>
      <w:r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в плановом периоде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годов</w:t>
      </w:r>
      <w:r/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проблем сбалансированности бюджета Грайворонского городского округа потребность в заемных средствах на предстоящий трехлетний период отсутствует.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Грайворонский городской округ проводит политику ограничения объема предоставления муниципальных гарантий и осуществления муниципальных заимствований. В 2023 году и плановом периоде 2024 и 2025 годов </w:t>
      </w:r>
      <w:r>
        <w:rPr>
          <w:sz w:val="28"/>
          <w:szCs w:val="28"/>
        </w:rPr>
        <w:br/>
        <w:t xml:space="preserve">эта политика будет продолжена.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 xml:space="preserve">Грайворонского городского округа в 2023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годах будет направлена на обеспечение финансирования дефицита бюджета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за счет снижения остатков средств на счетах по учету средств местного бюджета</w:t>
      </w:r>
      <w:r>
        <w:rPr>
          <w:sz w:val="28"/>
          <w:szCs w:val="28"/>
        </w:rPr>
        <w:t xml:space="preserve">, без привлечения заемных средств</w:t>
      </w:r>
      <w:r>
        <w:rPr>
          <w:sz w:val="28"/>
          <w:szCs w:val="28"/>
        </w:rPr>
        <w:t xml:space="preserve">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Цели и задачи </w:t>
      </w:r>
      <w:r>
        <w:rPr>
          <w:b/>
          <w:sz w:val="28"/>
          <w:szCs w:val="28"/>
        </w:rPr>
        <w:t xml:space="preserve">долговой политики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Грайворонского городского округа</w:t>
      </w:r>
      <w:r/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Стратегической целью </w:t>
      </w:r>
      <w:r>
        <w:rPr>
          <w:sz w:val="28"/>
          <w:szCs w:val="28"/>
        </w:rPr>
        <w:t xml:space="preserve">управления муниципальным долгом </w:t>
      </w:r>
      <w:r>
        <w:rPr>
          <w:sz w:val="28"/>
          <w:szCs w:val="28"/>
        </w:rPr>
        <w:t xml:space="preserve">Грайворонского городского округа </w:t>
      </w:r>
      <w:r>
        <w:rPr>
          <w:sz w:val="28"/>
          <w:szCs w:val="28"/>
        </w:rPr>
        <w:t xml:space="preserve">является обеспечение сбалансированности бюджета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при безусловном выполнении принятых обязательств и соблюдении норм и ограничений, установленных Бюджетным </w:t>
      </w:r>
      <w:r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 xml:space="preserve">Российской Федерации.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долговой политики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 являются: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соблюдение ограничений, установленных Бюджетным кодексом Российской Федерации;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сокращение стоимости обслуживания муниципального долга муниципального образования;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открытость и прозрачность управления муниципальным долгом муниципального образования. 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долговой политики</w:t>
      </w:r>
      <w:r>
        <w:rPr>
          <w:sz w:val="28"/>
          <w:szCs w:val="28"/>
        </w:rPr>
        <w:t xml:space="preserve"> Грайворонского городского округа</w:t>
      </w:r>
      <w:r>
        <w:rPr>
          <w:sz w:val="28"/>
          <w:szCs w:val="28"/>
        </w:rPr>
        <w:t xml:space="preserve"> являются: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повышение эффективности муниципальных заимствований;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оптимизация структуры муниципального долга;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соблюдение ограничений дефицита бюджета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уровне не бо</w:t>
      </w:r>
      <w:r>
        <w:rPr>
          <w:sz w:val="28"/>
          <w:szCs w:val="28"/>
        </w:rPr>
        <w:t xml:space="preserve">лее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с учетом положений статьи 92.1. Бюджетного </w:t>
      </w:r>
      <w:r>
        <w:rPr>
          <w:sz w:val="28"/>
          <w:szCs w:val="28"/>
        </w:rPr>
        <w:t xml:space="preserve">кодекса Российской Федерации;  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сокращение рисков, связанных с осуществлением заимствований;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поддержка развития экономики городского округа и повышение социальной стабильности.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Инструменты реализации долговой политики,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сокращение</w:t>
      </w:r>
      <w:r>
        <w:rPr>
          <w:b/>
          <w:sz w:val="28"/>
          <w:szCs w:val="28"/>
        </w:rPr>
        <w:t xml:space="preserve"> муниципального долга,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совершенствование долговой политики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райворонского городского округа</w:t>
      </w:r>
      <w:r/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политика, проводимая администрацией </w:t>
      </w:r>
      <w:r>
        <w:rPr>
          <w:sz w:val="28"/>
          <w:szCs w:val="28"/>
        </w:rPr>
        <w:t xml:space="preserve">Грайворонского городского округа</w:t>
      </w:r>
      <w:r>
        <w:rPr>
          <w:sz w:val="28"/>
          <w:szCs w:val="28"/>
        </w:rPr>
        <w:t xml:space="preserve">, направлена на обеспечение сбалансированности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устойчивости бюджета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и решение задач долговой </w:t>
      </w:r>
      <w:r>
        <w:rPr>
          <w:sz w:val="28"/>
          <w:szCs w:val="28"/>
        </w:rPr>
        <w:t xml:space="preserve">политики осуществляется путем выполнения </w:t>
      </w:r>
      <w:r>
        <w:rPr>
          <w:sz w:val="28"/>
          <w:szCs w:val="28"/>
        </w:rPr>
        <w:t xml:space="preserve">Программы повышения эффективности управления</w:t>
      </w:r>
      <w:r>
        <w:rPr>
          <w:sz w:val="28"/>
          <w:szCs w:val="28"/>
        </w:rPr>
        <w:t xml:space="preserve"> муниципальными финансами Грайворонского городского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исполнения </w:t>
      </w:r>
      <w:r>
        <w:rPr>
          <w:sz w:val="28"/>
          <w:szCs w:val="28"/>
        </w:rPr>
        <w:t xml:space="preserve">вышеуказанной Программы</w:t>
      </w:r>
      <w:r>
        <w:rPr>
          <w:sz w:val="28"/>
          <w:szCs w:val="28"/>
        </w:rPr>
        <w:t xml:space="preserve"> осуществляются мероприятия, направленные на рост доходной и оптимизацию расходной частей бюджета городского округа.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Анализ рисков </w:t>
      </w:r>
      <w:r>
        <w:rPr>
          <w:b/>
          <w:sz w:val="28"/>
          <w:szCs w:val="28"/>
        </w:rPr>
        <w:t xml:space="preserve">для бюджета, возникающих в процессе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управления муниципальным долгом Грайворонского городского округа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выполнения долговой политики Грайворонского городского округа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Базовым риском, влияющим на соблюдение условий долговой политики Грайворонского городского округа, является неопределенность ожиданий изменений налогового законодательства, приводящих к потерям бюджета городского округа.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факторов, влияющих на решение проблем сбалансированности бюджета, может являться отказ банков при складываю</w:t>
      </w:r>
      <w:r>
        <w:rPr>
          <w:sz w:val="28"/>
          <w:szCs w:val="28"/>
        </w:rPr>
        <w:t xml:space="preserve">щейся негативной ситуации на финансовых рынках предоставлять муниципальному сектору кредиты по ставкам, соответствующим установленному Министерством финансов Российской Федерации ограничению - не более чем уровень ключевой ставки, увеличенный на 1 процент.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управлении муниципальным долгом и соблюдении условий долговой политики Грайворонский городской округ может столкнуться со следующими базовыми рисками: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процентный риск – вероятность </w:t>
      </w:r>
      <w:r>
        <w:rPr>
          <w:sz w:val="28"/>
          <w:szCs w:val="28"/>
        </w:rPr>
        <w:t xml:space="preserve">увеличения суммы расходов бюджета городского округа</w:t>
      </w:r>
      <w:r>
        <w:rPr>
          <w:sz w:val="28"/>
          <w:szCs w:val="28"/>
        </w:rPr>
        <w:t xml:space="preserve"> на обслуживание муниципального долга вследствие увеличения процентных ставок при осуществлении заимствований;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б) операционный риск – вероятность возникновения потерь (убытков) </w:t>
      </w:r>
      <w:r>
        <w:rPr>
          <w:sz w:val="28"/>
          <w:szCs w:val="28"/>
        </w:rPr>
        <w:br/>
        <w:t xml:space="preserve">для бюджета городского округа при осуществлении и обслуживании муниципальных заимствований вследствие технических ошибок, сбоев </w:t>
      </w:r>
      <w:r>
        <w:rPr>
          <w:sz w:val="28"/>
          <w:szCs w:val="28"/>
        </w:rPr>
        <w:br/>
        <w:t xml:space="preserve">или отказа используемых учетно-расчетных, информационных и иных систем </w:t>
      </w:r>
      <w:r>
        <w:rPr>
          <w:sz w:val="28"/>
          <w:szCs w:val="28"/>
        </w:rPr>
        <w:br/>
        <w:t xml:space="preserve">у агентов (исполнителей) по муниципальным контрактам.</w:t>
      </w:r>
      <w:r/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tabs>
          <w:tab w:val="left" w:pos="1134" w:leader="none"/>
        </w:tabs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479052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2"/>
    <w:next w:val="66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2"/>
    <w:next w:val="66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2"/>
    <w:next w:val="66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2"/>
    <w:next w:val="66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3"/>
    <w:link w:val="32"/>
    <w:uiPriority w:val="10"/>
    <w:rPr>
      <w:sz w:val="48"/>
      <w:szCs w:val="48"/>
    </w:rPr>
  </w:style>
  <w:style w:type="paragraph" w:styleId="34">
    <w:name w:val="Subtitle"/>
    <w:basedOn w:val="662"/>
    <w:next w:val="66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3"/>
    <w:link w:val="34"/>
    <w:uiPriority w:val="11"/>
    <w:rPr>
      <w:sz w:val="24"/>
      <w:szCs w:val="24"/>
    </w:rPr>
  </w:style>
  <w:style w:type="paragraph" w:styleId="36">
    <w:name w:val="Quote"/>
    <w:basedOn w:val="662"/>
    <w:next w:val="66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2"/>
    <w:next w:val="66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3"/>
    <w:link w:val="684"/>
    <w:uiPriority w:val="99"/>
  </w:style>
  <w:style w:type="character" w:styleId="43">
    <w:name w:val="Footer Char"/>
    <w:basedOn w:val="663"/>
    <w:link w:val="686"/>
    <w:uiPriority w:val="99"/>
  </w:style>
  <w:style w:type="paragraph" w:styleId="44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6"/>
    <w:uiPriority w:val="99"/>
  </w:style>
  <w:style w:type="table" w:styleId="47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3"/>
    <w:uiPriority w:val="99"/>
    <w:unhideWhenUsed/>
    <w:rPr>
      <w:vertAlign w:val="superscript"/>
    </w:rPr>
  </w:style>
  <w:style w:type="paragraph" w:styleId="176">
    <w:name w:val="endnote text"/>
    <w:basedOn w:val="66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3"/>
    <w:uiPriority w:val="99"/>
    <w:semiHidden/>
    <w:unhideWhenUsed/>
    <w:rPr>
      <w:vertAlign w:val="superscript"/>
    </w:rPr>
  </w:style>
  <w:style w:type="paragraph" w:styleId="179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Body Text"/>
    <w:basedOn w:val="662"/>
    <w:link w:val="667"/>
    <w:pPr>
      <w:spacing w:after="120"/>
    </w:pPr>
    <w:rPr>
      <w:sz w:val="20"/>
      <w:szCs w:val="20"/>
    </w:rPr>
  </w:style>
  <w:style w:type="character" w:styleId="667" w:customStyle="1">
    <w:name w:val="Основной текст Знак"/>
    <w:basedOn w:val="663"/>
    <w:link w:val="666"/>
    <w:rPr>
      <w:rFonts w:ascii="Times New Roman" w:hAnsi="Times New Roman" w:cs="Times New Roman"/>
    </w:rPr>
  </w:style>
  <w:style w:type="paragraph" w:styleId="668">
    <w:name w:val="Body Text Indent 2"/>
    <w:basedOn w:val="662"/>
    <w:link w:val="669"/>
    <w:pPr>
      <w:ind w:left="283"/>
      <w:spacing w:after="120" w:line="480" w:lineRule="auto"/>
    </w:pPr>
    <w:rPr>
      <w:sz w:val="20"/>
      <w:szCs w:val="20"/>
    </w:rPr>
  </w:style>
  <w:style w:type="character" w:styleId="669" w:customStyle="1">
    <w:name w:val="Основной текст с отступом 2 Знак"/>
    <w:basedOn w:val="663"/>
    <w:link w:val="668"/>
    <w:rPr>
      <w:rFonts w:ascii="Times New Roman" w:hAnsi="Times New Roman" w:cs="Times New Roman"/>
    </w:rPr>
  </w:style>
  <w:style w:type="paragraph" w:styleId="670">
    <w:name w:val="Balloon Text"/>
    <w:basedOn w:val="662"/>
    <w:link w:val="671"/>
    <w:uiPriority w:val="99"/>
    <w:semiHidden/>
    <w:unhideWhenUsed/>
    <w:rPr>
      <w:rFonts w:ascii="Tahoma" w:hAnsi="Tahoma" w:cs="Tahoma"/>
      <w:sz w:val="16"/>
      <w:szCs w:val="16"/>
    </w:rPr>
  </w:style>
  <w:style w:type="character" w:styleId="671" w:customStyle="1">
    <w:name w:val="Текст выноски Знак"/>
    <w:basedOn w:val="663"/>
    <w:link w:val="670"/>
    <w:uiPriority w:val="99"/>
    <w:semiHidden/>
    <w:rPr>
      <w:rFonts w:ascii="Tahoma" w:hAnsi="Tahoma" w:cs="Tahoma"/>
      <w:sz w:val="16"/>
      <w:szCs w:val="16"/>
    </w:rPr>
  </w:style>
  <w:style w:type="paragraph" w:styleId="672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73">
    <w:name w:val="List Paragraph"/>
    <w:basedOn w:val="662"/>
    <w:uiPriority w:val="34"/>
    <w:qFormat/>
    <w:pPr>
      <w:contextualSpacing/>
      <w:ind w:left="720"/>
    </w:pPr>
  </w:style>
  <w:style w:type="paragraph" w:styleId="674">
    <w:name w:val="Normal (Web)"/>
    <w:basedOn w:val="662"/>
    <w:uiPriority w:val="99"/>
    <w:unhideWhenUsed/>
    <w:pPr>
      <w:spacing w:before="100" w:beforeAutospacing="1" w:after="100" w:afterAutospacing="1"/>
    </w:pPr>
  </w:style>
  <w:style w:type="paragraph" w:styleId="675" w:customStyle="1">
    <w:name w:val="paragraph"/>
    <w:basedOn w:val="662"/>
    <w:pPr>
      <w:spacing w:before="100" w:beforeAutospacing="1" w:after="100" w:afterAutospacing="1"/>
    </w:pPr>
  </w:style>
  <w:style w:type="character" w:styleId="676" w:customStyle="1">
    <w:name w:val="normaltextrun"/>
    <w:basedOn w:val="663"/>
  </w:style>
  <w:style w:type="character" w:styleId="677" w:customStyle="1">
    <w:name w:val="scxw111914594"/>
    <w:basedOn w:val="663"/>
  </w:style>
  <w:style w:type="character" w:styleId="678" w:customStyle="1">
    <w:name w:val="eop"/>
    <w:basedOn w:val="663"/>
  </w:style>
  <w:style w:type="character" w:styleId="679" w:customStyle="1">
    <w:name w:val="tabchar"/>
    <w:basedOn w:val="663"/>
  </w:style>
  <w:style w:type="character" w:styleId="680" w:customStyle="1">
    <w:name w:val="spellingerror"/>
    <w:basedOn w:val="663"/>
  </w:style>
  <w:style w:type="character" w:styleId="681" w:customStyle="1">
    <w:name w:val="Основной текст (2)_"/>
    <w:basedOn w:val="663"/>
    <w:link w:val="682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2" w:customStyle="1">
    <w:name w:val="Основной текст (2)"/>
    <w:basedOn w:val="662"/>
    <w:link w:val="681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683">
    <w:name w:val="Table Grid"/>
    <w:basedOn w:val="664"/>
    <w:rPr>
      <w:rFonts w:ascii="Times New Roman" w:hAnsi="Times New Roman" w:cs="Times New Roman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62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63"/>
    <w:link w:val="684"/>
    <w:uiPriority w:val="99"/>
    <w:rPr>
      <w:rFonts w:ascii="Times New Roman" w:hAnsi="Times New Roman" w:cs="Times New Roman"/>
      <w:sz w:val="24"/>
      <w:szCs w:val="24"/>
    </w:rPr>
  </w:style>
  <w:style w:type="paragraph" w:styleId="686">
    <w:name w:val="Footer"/>
    <w:basedOn w:val="662"/>
    <w:link w:val="68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63"/>
    <w:link w:val="68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688" w:customStyle="1">
    <w:name w:val="Font Style47"/>
    <w:basedOn w:val="663"/>
    <w:rPr>
      <w:rFonts w:ascii="Times New Roman" w:hAnsi="Times New Roman" w:cs="Times New Roman"/>
      <w:b/>
      <w:bCs/>
      <w:sz w:val="26"/>
      <w:szCs w:val="26"/>
    </w:rPr>
  </w:style>
  <w:style w:type="character" w:styleId="689" w:customStyle="1">
    <w:name w:val="Font Style48"/>
    <w:basedOn w:val="663"/>
    <w:rPr>
      <w:rFonts w:ascii="Times New Roman" w:hAnsi="Times New Roman" w:cs="Times New Roman"/>
      <w:sz w:val="24"/>
      <w:szCs w:val="24"/>
    </w:rPr>
  </w:style>
  <w:style w:type="paragraph" w:styleId="690" w:customStyle="1">
    <w:name w:val="ConsPlusTitle"/>
    <w:pPr>
      <w:widowControl w:val="off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6C0ABDAD-065D-4BCC-B98F-0BB9EE5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2022-12-01T07:37:00Z</dcterms:created>
  <dcterms:modified xsi:type="dcterms:W3CDTF">2022-12-19T12:23:35Z</dcterms:modified>
</cp:coreProperties>
</file>