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4"/>
        <w:jc w:val="center"/>
        <w:tabs>
          <w:tab w:val="left" w:pos="5580" w:leader="none"/>
        </w:tabs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-114299</wp:posOffset>
                </wp:positionV>
                <wp:extent cx="605790" cy="6858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652836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57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16.0pt;mso-position-horizontal:absolute;mso-position-vertical-relative:text;margin-top:-9.0pt;mso-position-vertical:absolute;width:47.7pt;height:54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36"/>
          <w:szCs w:val="36"/>
        </w:rPr>
      </w:r>
      <w:r/>
    </w:p>
    <w:p>
      <w:pPr>
        <w:pStyle w:val="664"/>
        <w:jc w:val="center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664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664"/>
        <w:jc w:val="center"/>
        <w:rPr>
          <w:rFonts w:ascii="Arial" w:hAnsi="Arial"/>
        </w:rPr>
        <w:outlineLvl w:val="0"/>
      </w:pPr>
      <w:r>
        <w:rPr>
          <w:rFonts w:ascii="Arial" w:hAnsi="Arial"/>
          <w:b/>
          <w:sz w:val="20"/>
          <w:szCs w:val="20"/>
        </w:rPr>
        <w:t xml:space="preserve">Б е л г о р о д с к а я   о б л а с т ь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664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664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АДМИНИСТРАЦИ</w:t>
      </w:r>
      <w:r>
        <w:rPr>
          <w:rFonts w:ascii="Arial Narrow" w:hAnsi="Arial Narrow"/>
          <w:b/>
          <w:sz w:val="32"/>
          <w:szCs w:val="32"/>
        </w:rPr>
        <w:t xml:space="preserve">Я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664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ГРАЙВОРОНСКОГО ГОРОДСКОГО ОКРУГА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664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664"/>
        <w:jc w:val="center"/>
        <w:rPr>
          <w:rFonts w:ascii="Arial" w:hAnsi="Arial"/>
        </w:rPr>
        <w:outlineLvl w:val="0"/>
      </w:pPr>
      <w:r>
        <w:rPr>
          <w:rFonts w:ascii="Arial" w:hAnsi="Arial"/>
          <w:spacing w:val="20"/>
          <w:sz w:val="32"/>
          <w:szCs w:val="32"/>
        </w:rPr>
        <w:t xml:space="preserve">ПОСТАНОВЛЕНИЕ</w:t>
      </w:r>
      <w:r>
        <w:rPr>
          <w:rFonts w:ascii="Arial" w:hAnsi="Arial"/>
          <w:spacing w:val="20"/>
          <w:sz w:val="32"/>
          <w:szCs w:val="32"/>
        </w:rPr>
      </w:r>
      <w:r/>
    </w:p>
    <w:p>
      <w:pPr>
        <w:pStyle w:val="664"/>
        <w:jc w:val="center"/>
        <w:rPr>
          <w:rFonts w:ascii="Arial" w:hAnsi="Arial"/>
        </w:rPr>
      </w:pPr>
      <w:r>
        <w:rPr>
          <w:rFonts w:ascii="Arial" w:hAnsi="Arial"/>
          <w:b/>
          <w:sz w:val="4"/>
          <w:szCs w:val="4"/>
        </w:rPr>
      </w:r>
      <w:r>
        <w:rPr>
          <w:rFonts w:ascii="Arial" w:hAnsi="Arial"/>
          <w:b/>
          <w:sz w:val="4"/>
          <w:szCs w:val="4"/>
        </w:rPr>
      </w:r>
      <w:r/>
    </w:p>
    <w:p>
      <w:pPr>
        <w:pStyle w:val="664"/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 xml:space="preserve">Грайворон</w:t>
      </w:r>
      <w:r>
        <w:rPr>
          <w:rFonts w:ascii="Arial" w:hAnsi="Arial"/>
          <w:b/>
          <w:sz w:val="17"/>
          <w:szCs w:val="17"/>
        </w:rPr>
      </w:r>
      <w:r/>
    </w:p>
    <w:p>
      <w:pPr>
        <w:pStyle w:val="664"/>
        <w:jc w:val="center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  <w:r/>
    </w:p>
    <w:p>
      <w:pPr>
        <w:pStyle w:val="664"/>
        <w:jc w:val="both"/>
        <w:rPr>
          <w:sz w:val="22"/>
        </w:rPr>
      </w:pPr>
      <w:r>
        <w:rPr>
          <w:b/>
          <w:sz w:val="22"/>
          <w:szCs w:val="18"/>
        </w:rPr>
        <w:t xml:space="preserve">«_09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»  __декабря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20</w:t>
      </w:r>
      <w:r>
        <w:rPr>
          <w:b/>
          <w:sz w:val="22"/>
          <w:szCs w:val="18"/>
        </w:rPr>
        <w:t xml:space="preserve">23_ г.</w:t>
        <w:tab/>
        <w:tab/>
        <w:tab/>
        <w:tab/>
        <w:tab/>
        <w:tab/>
      </w:r>
      <w:r>
        <w:rPr>
          <w:b/>
          <w:sz w:val="22"/>
          <w:szCs w:val="18"/>
        </w:rPr>
        <w:tab/>
        <w:tab/>
        <w:t xml:space="preserve">                </w:t>
      </w:r>
      <w:r>
        <w:rPr>
          <w:b/>
          <w:sz w:val="22"/>
          <w:szCs w:val="18"/>
        </w:rPr>
        <w:t xml:space="preserve">№</w:t>
      </w:r>
      <w:r>
        <w:rPr>
          <w:b/>
          <w:sz w:val="22"/>
          <w:szCs w:val="18"/>
        </w:rPr>
        <w:t xml:space="preserve"> _3_</w:t>
      </w:r>
      <w:r>
        <w:rPr>
          <w:sz w:val="22"/>
          <w:szCs w:val="28"/>
        </w:rPr>
      </w:r>
      <w:r>
        <w:rPr>
          <w:sz w:val="22"/>
        </w:rPr>
      </w:r>
    </w:p>
    <w:p>
      <w:pPr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7229" w:type="dxa"/>
        <w:tblInd w:w="1384" w:type="dxa"/>
        <w:tblLook w:val="01E0" w:firstRow="1" w:lastRow="1" w:firstColumn="1" w:lastColumn="1" w:noHBand="0" w:noVBand="0"/>
      </w:tblPr>
      <w:tblGrid>
        <w:gridCol w:w="7229"/>
      </w:tblGrid>
      <w:tr>
        <w:trPr>
          <w:trHeight w:val="701"/>
        </w:trPr>
        <w:tc>
          <w:tcPr>
            <w:tcW w:w="722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>
              <w:rPr>
                <w:b/>
                <w:bCs/>
                <w:sz w:val="28"/>
                <w:szCs w:val="28"/>
              </w:rPr>
              <w:br/>
              <w:t xml:space="preserve">от 15 сентября 2022 года №624</w:t>
            </w:r>
            <w:r/>
          </w:p>
        </w:tc>
      </w:tr>
    </w:tbl>
    <w:p>
      <w:pPr>
        <w:ind w:firstLine="720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134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</w:t>
      </w:r>
      <w:r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областного государственного бюджетного учреждения здравоохранения </w:t>
      </w:r>
      <w:r>
        <w:rPr>
          <w:sz w:val="28"/>
          <w:szCs w:val="28"/>
        </w:rPr>
        <w:t xml:space="preserve">«Грайворонская центральная районная больница» от 09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2023 года №1 «О медицинском обеспечении первоначальной постановки на воинский учет граждан 2006 г.р. на территории Гр</w:t>
      </w:r>
      <w:r>
        <w:rPr>
          <w:sz w:val="28"/>
          <w:szCs w:val="28"/>
        </w:rPr>
        <w:t xml:space="preserve">айворонского городского округа» </w:t>
      </w:r>
      <w:r>
        <w:rPr>
          <w:b/>
          <w:spacing w:val="40"/>
          <w:sz w:val="28"/>
          <w:szCs w:val="28"/>
        </w:rPr>
        <w:t xml:space="preserve">постановля</w:t>
      </w:r>
      <w:r>
        <w:rPr>
          <w:b/>
          <w:sz w:val="28"/>
          <w:szCs w:val="28"/>
        </w:rPr>
        <w:t xml:space="preserve">ю:</w:t>
      </w:r>
      <w:r/>
    </w:p>
    <w:p>
      <w:pPr>
        <w:numPr>
          <w:ilvl w:val="0"/>
          <w:numId w:val="4"/>
        </w:numPr>
        <w:ind w:left="0" w:firstLine="709"/>
        <w:jc w:val="both"/>
        <w:tabs>
          <w:tab w:val="left" w:pos="0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изменения </w:t>
      </w:r>
      <w:r>
        <w:rPr>
          <w:sz w:val="28"/>
          <w:szCs w:val="28"/>
        </w:rPr>
        <w:t xml:space="preserve">в постановление </w:t>
      </w:r>
      <w:r>
        <w:rPr>
          <w:bCs/>
          <w:sz w:val="28"/>
          <w:szCs w:val="28"/>
        </w:rPr>
        <w:t xml:space="preserve">администрации Грайворонского городского округа от 15 сентября 2022 года №624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«О проведении в городском округе первоначальной постановки на воинский учет граждан 2006 года рождения»:</w:t>
      </w:r>
      <w:r/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основной и </w:t>
      </w:r>
      <w:r>
        <w:rPr>
          <w:sz w:val="28"/>
          <w:szCs w:val="28"/>
        </w:rPr>
        <w:t xml:space="preserve">резервный</w:t>
      </w:r>
      <w:r>
        <w:rPr>
          <w:sz w:val="28"/>
          <w:szCs w:val="28"/>
        </w:rPr>
        <w:t xml:space="preserve"> составы врачебной медицинской комиссии Грайворонского городского округа</w:t>
      </w:r>
      <w:r>
        <w:rPr>
          <w:sz w:val="28"/>
          <w:szCs w:val="28"/>
        </w:rPr>
        <w:t xml:space="preserve">, утвержденные в пункте 4 вышеназванного постановления:</w:t>
      </w:r>
      <w:r/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вывести из </w:t>
      </w:r>
      <w:r>
        <w:rPr>
          <w:sz w:val="28"/>
          <w:szCs w:val="28"/>
        </w:rPr>
        <w:t xml:space="preserve">основно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медицинской комиссии Ванину Валентину Валерьевну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ввести в основной состав медицинской комиссии</w:t>
      </w:r>
      <w:r>
        <w:rPr>
          <w:sz w:val="28"/>
          <w:szCs w:val="28"/>
        </w:rPr>
        <w:t xml:space="preserve"> Воронину Галину Васильевну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медицинскую сестру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вывести из</w:t>
      </w:r>
      <w:r>
        <w:rPr>
          <w:sz w:val="28"/>
          <w:szCs w:val="28"/>
        </w:rPr>
        <w:t xml:space="preserve"> резервн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медицинской комиссии Махортову Татьяну Владимировну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ввести в </w:t>
      </w:r>
      <w:r>
        <w:rPr>
          <w:sz w:val="28"/>
          <w:szCs w:val="28"/>
        </w:rPr>
        <w:t xml:space="preserve">резервн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состав медицинской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Мураховскую Викторию Александровну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медицинскую сестру.</w:t>
      </w:r>
      <w:r/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r>
        <w:rPr>
          <w:sz w:val="28"/>
          <w:szCs w:val="28"/>
          <w:lang w:val="en-US"/>
        </w:rPr>
        <w:t xml:space="preserve">grajvoron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/>
    </w:p>
    <w:p>
      <w:pPr>
        <w:ind w:firstLine="709"/>
        <w:jc w:val="both"/>
        <w:tabs>
          <w:tab w:val="left" w:pos="1134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постановления возложить на заместителя главы администрации городского округа</w:t>
      </w:r>
      <w:r>
        <w:rPr>
          <w:sz w:val="28"/>
          <w:szCs w:val="28"/>
        </w:rPr>
        <w:t xml:space="preserve"> - секретаря Совета безопасности </w:t>
      </w:r>
      <w:r>
        <w:rPr>
          <w:sz w:val="28"/>
          <w:szCs w:val="28"/>
        </w:rPr>
        <w:br/>
        <w:t xml:space="preserve">В.И. Радченко.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21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/>
          </w:p>
        </w:tc>
        <w:tc>
          <w:tcPr>
            <w:tcW w:w="4821" w:type="dxa"/>
            <w:textDirection w:val="lrTb"/>
            <w:noWrap w:val="false"/>
          </w:tcPr>
          <w:p>
            <w:pPr>
              <w:ind w:right="-11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Бондарев</w:t>
            </w:r>
            <w:r/>
          </w:p>
        </w:tc>
      </w:tr>
    </w:tbl>
    <w:p>
      <w:pPr>
        <w:jc w:val="both"/>
        <w:tabs>
          <w:tab w:val="left" w:pos="1134" w:leader="none"/>
        </w:tabs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284" w:right="56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1479052"/>
      <w:docPartObj>
        <w:docPartGallery w:val="Page Numbers (Top of Page)"/>
        <w:docPartUnique w:val="true"/>
      </w:docPartObj>
      <w:rPr/>
    </w:sdtPr>
    <w:sdtContent>
      <w:p>
        <w:pPr>
          <w:pStyle w:val="686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6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4" w:hanging="122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6" w:hanging="121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4"/>
    <w:next w:val="66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4"/>
    <w:next w:val="66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4"/>
    <w:next w:val="66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4"/>
    <w:next w:val="66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5"/>
    <w:link w:val="32"/>
    <w:uiPriority w:val="10"/>
    <w:rPr>
      <w:sz w:val="48"/>
      <w:szCs w:val="48"/>
    </w:rPr>
  </w:style>
  <w:style w:type="paragraph" w:styleId="34">
    <w:name w:val="Subtitle"/>
    <w:basedOn w:val="664"/>
    <w:next w:val="66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5"/>
    <w:link w:val="34"/>
    <w:uiPriority w:val="11"/>
    <w:rPr>
      <w:sz w:val="24"/>
      <w:szCs w:val="24"/>
    </w:rPr>
  </w:style>
  <w:style w:type="paragraph" w:styleId="36">
    <w:name w:val="Quote"/>
    <w:basedOn w:val="664"/>
    <w:next w:val="66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4"/>
    <w:next w:val="66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5"/>
    <w:link w:val="686"/>
    <w:uiPriority w:val="99"/>
  </w:style>
  <w:style w:type="character" w:styleId="43">
    <w:name w:val="Footer Char"/>
    <w:basedOn w:val="665"/>
    <w:link w:val="688"/>
    <w:uiPriority w:val="99"/>
  </w:style>
  <w:style w:type="paragraph" w:styleId="44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8"/>
    <w:uiPriority w:val="99"/>
  </w:style>
  <w:style w:type="table" w:styleId="47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5"/>
    <w:uiPriority w:val="99"/>
    <w:unhideWhenUsed/>
    <w:rPr>
      <w:vertAlign w:val="superscript"/>
    </w:rPr>
  </w:style>
  <w:style w:type="paragraph" w:styleId="176">
    <w:name w:val="endnote text"/>
    <w:basedOn w:val="66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5"/>
    <w:uiPriority w:val="99"/>
    <w:semiHidden/>
    <w:unhideWhenUsed/>
    <w:rPr>
      <w:vertAlign w:val="superscript"/>
    </w:rPr>
  </w:style>
  <w:style w:type="paragraph" w:styleId="179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rPr>
      <w:rFonts w:ascii="Times New Roman" w:hAnsi="Times New Roman" w:cs="Times New Roman"/>
      <w:sz w:val="24"/>
      <w:szCs w:val="24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Body Text"/>
    <w:basedOn w:val="664"/>
    <w:link w:val="669"/>
    <w:pPr>
      <w:spacing w:after="120"/>
    </w:pPr>
    <w:rPr>
      <w:sz w:val="20"/>
      <w:szCs w:val="20"/>
    </w:rPr>
  </w:style>
  <w:style w:type="character" w:styleId="669" w:customStyle="1">
    <w:name w:val="Основной текст Знак"/>
    <w:basedOn w:val="665"/>
    <w:link w:val="668"/>
    <w:rPr>
      <w:rFonts w:ascii="Times New Roman" w:hAnsi="Times New Roman" w:cs="Times New Roman"/>
    </w:rPr>
  </w:style>
  <w:style w:type="paragraph" w:styleId="670">
    <w:name w:val="Body Text Indent 2"/>
    <w:basedOn w:val="664"/>
    <w:link w:val="671"/>
    <w:pPr>
      <w:ind w:left="283"/>
      <w:spacing w:after="120" w:line="480" w:lineRule="auto"/>
    </w:pPr>
    <w:rPr>
      <w:sz w:val="20"/>
      <w:szCs w:val="20"/>
    </w:rPr>
  </w:style>
  <w:style w:type="character" w:styleId="671" w:customStyle="1">
    <w:name w:val="Основной текст с отступом 2 Знак"/>
    <w:basedOn w:val="665"/>
    <w:link w:val="670"/>
    <w:rPr>
      <w:rFonts w:ascii="Times New Roman" w:hAnsi="Times New Roman" w:cs="Times New Roman"/>
    </w:rPr>
  </w:style>
  <w:style w:type="paragraph" w:styleId="672">
    <w:name w:val="Balloon Text"/>
    <w:basedOn w:val="664"/>
    <w:link w:val="673"/>
    <w:uiPriority w:val="99"/>
    <w:semiHidden/>
    <w:unhideWhenUsed/>
    <w:rPr>
      <w:rFonts w:ascii="Tahoma" w:hAnsi="Tahoma" w:cs="Tahoma"/>
      <w:sz w:val="16"/>
      <w:szCs w:val="16"/>
    </w:rPr>
  </w:style>
  <w:style w:type="character" w:styleId="673" w:customStyle="1">
    <w:name w:val="Текст выноски Знак"/>
    <w:basedOn w:val="665"/>
    <w:link w:val="672"/>
    <w:uiPriority w:val="99"/>
    <w:semiHidden/>
    <w:rPr>
      <w:rFonts w:ascii="Tahoma" w:hAnsi="Tahoma" w:cs="Tahoma"/>
      <w:sz w:val="16"/>
      <w:szCs w:val="16"/>
    </w:rPr>
  </w:style>
  <w:style w:type="paragraph" w:styleId="674" w:customStyle="1">
    <w:name w:val="ConsPlusNormal"/>
    <w:uiPriority w:val="99"/>
    <w:pPr>
      <w:jc w:val="both"/>
      <w:widowControl w:val="off"/>
    </w:pPr>
    <w:rPr>
      <w:rFonts w:ascii="Arial" w:hAnsi="Arial" w:cs="Arial"/>
    </w:rPr>
  </w:style>
  <w:style w:type="paragraph" w:styleId="675">
    <w:name w:val="List Paragraph"/>
    <w:basedOn w:val="664"/>
    <w:uiPriority w:val="34"/>
    <w:qFormat/>
    <w:pPr>
      <w:contextualSpacing/>
      <w:ind w:left="720"/>
    </w:pPr>
  </w:style>
  <w:style w:type="paragraph" w:styleId="676">
    <w:name w:val="Normal (Web)"/>
    <w:basedOn w:val="664"/>
    <w:uiPriority w:val="99"/>
    <w:unhideWhenUsed/>
    <w:pPr>
      <w:spacing w:before="100" w:beforeAutospacing="1" w:after="100" w:afterAutospacing="1"/>
    </w:pPr>
  </w:style>
  <w:style w:type="paragraph" w:styleId="677" w:customStyle="1">
    <w:name w:val="paragraph"/>
    <w:basedOn w:val="664"/>
    <w:pPr>
      <w:spacing w:before="100" w:beforeAutospacing="1" w:after="100" w:afterAutospacing="1"/>
    </w:pPr>
  </w:style>
  <w:style w:type="character" w:styleId="678" w:customStyle="1">
    <w:name w:val="normaltextrun"/>
    <w:basedOn w:val="665"/>
  </w:style>
  <w:style w:type="character" w:styleId="679" w:customStyle="1">
    <w:name w:val="scxw111914594"/>
    <w:basedOn w:val="665"/>
  </w:style>
  <w:style w:type="character" w:styleId="680" w:customStyle="1">
    <w:name w:val="eop"/>
    <w:basedOn w:val="665"/>
  </w:style>
  <w:style w:type="character" w:styleId="681" w:customStyle="1">
    <w:name w:val="tabchar"/>
    <w:basedOn w:val="665"/>
  </w:style>
  <w:style w:type="character" w:styleId="682" w:customStyle="1">
    <w:name w:val="spellingerror"/>
    <w:basedOn w:val="665"/>
  </w:style>
  <w:style w:type="character" w:styleId="683" w:customStyle="1">
    <w:name w:val="Основной текст (2)_"/>
    <w:basedOn w:val="665"/>
    <w:link w:val="684"/>
    <w:uiPriority w:val="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styleId="684" w:customStyle="1">
    <w:name w:val="Основной текст (2)"/>
    <w:basedOn w:val="664"/>
    <w:link w:val="683"/>
    <w:uiPriority w:val="99"/>
    <w:pPr>
      <w:jc w:val="center"/>
      <w:spacing w:before="240" w:after="360" w:line="240" w:lineRule="atLeast"/>
      <w:shd w:val="clear" w:color="auto" w:fill="ffffff"/>
    </w:pPr>
    <w:rPr>
      <w:b/>
      <w:bCs/>
      <w:sz w:val="25"/>
      <w:szCs w:val="25"/>
    </w:rPr>
  </w:style>
  <w:style w:type="table" w:styleId="685">
    <w:name w:val="Table Grid"/>
    <w:basedOn w:val="666"/>
    <w:rPr>
      <w:rFonts w:ascii="Times New Roman" w:hAnsi="Times New Roman" w:cs="Times New Roman" w:eastAsia="Calibri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Header"/>
    <w:basedOn w:val="664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65"/>
    <w:link w:val="686"/>
    <w:uiPriority w:val="99"/>
    <w:rPr>
      <w:rFonts w:ascii="Times New Roman" w:hAnsi="Times New Roman" w:cs="Times New Roman"/>
      <w:sz w:val="24"/>
      <w:szCs w:val="24"/>
    </w:rPr>
  </w:style>
  <w:style w:type="paragraph" w:styleId="688">
    <w:name w:val="Footer"/>
    <w:basedOn w:val="664"/>
    <w:link w:val="68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65"/>
    <w:link w:val="68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90" w:customStyle="1">
    <w:name w:val="5373"/>
    <w:basedOn w:val="664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B190A49-208E-41DD-BE8E-159C2BBF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5</cp:revision>
  <dcterms:created xsi:type="dcterms:W3CDTF">2022-12-23T06:13:00Z</dcterms:created>
  <dcterms:modified xsi:type="dcterms:W3CDTF">2023-01-11T07:13:41Z</dcterms:modified>
</cp:coreProperties>
</file>