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261CED">
      <w:pPr>
        <w:tabs>
          <w:tab w:val="left" w:pos="5580"/>
        </w:tabs>
        <w:jc w:val="center"/>
      </w:pPr>
      <w:r w:rsidRPr="00261CE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B94557">
        <w:rPr>
          <w:b/>
          <w:sz w:val="22"/>
          <w:szCs w:val="18"/>
        </w:rPr>
        <w:t>20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9E61BB">
        <w:rPr>
          <w:b/>
          <w:sz w:val="22"/>
          <w:szCs w:val="18"/>
        </w:rPr>
        <w:t>7</w:t>
      </w:r>
      <w:r w:rsidR="00B94557">
        <w:rPr>
          <w:b/>
          <w:sz w:val="22"/>
          <w:szCs w:val="18"/>
        </w:rPr>
        <w:t>7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B94557" w:rsidP="00056FBF">
            <w:pPr>
              <w:pStyle w:val="aff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календарного плана составления проекта бюджета Грайворонского городского округа на 2024 год и плановый период 2025 и 2026 </w:t>
            </w:r>
            <w:r w:rsidRPr="006905F8">
              <w:rPr>
                <w:b/>
                <w:szCs w:val="28"/>
              </w:rPr>
              <w:t>годов</w:t>
            </w:r>
          </w:p>
        </w:tc>
      </w:tr>
    </w:tbl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B94557" w:rsidRPr="003460B2" w:rsidRDefault="00B94557" w:rsidP="00B9455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B6D15">
        <w:rPr>
          <w:sz w:val="28"/>
          <w:szCs w:val="28"/>
        </w:rPr>
        <w:t xml:space="preserve">В соответствии со статьями 169 и 184 Бюджетного кодекса Российской Федерации, статьями </w:t>
      </w:r>
      <w:r>
        <w:rPr>
          <w:sz w:val="28"/>
          <w:szCs w:val="28"/>
        </w:rPr>
        <w:t>60</w:t>
      </w:r>
      <w:r w:rsidRPr="00DB6D15">
        <w:rPr>
          <w:sz w:val="28"/>
          <w:szCs w:val="28"/>
        </w:rPr>
        <w:t xml:space="preserve"> и </w:t>
      </w:r>
      <w:r>
        <w:rPr>
          <w:sz w:val="28"/>
          <w:szCs w:val="28"/>
        </w:rPr>
        <w:t>61</w:t>
      </w:r>
      <w:r w:rsidRPr="00DB6D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5309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8753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5309">
        <w:rPr>
          <w:sz w:val="28"/>
          <w:szCs w:val="28"/>
        </w:rPr>
        <w:t xml:space="preserve"> бюджетном устройстве </w:t>
      </w:r>
      <w:r>
        <w:rPr>
          <w:sz w:val="28"/>
          <w:szCs w:val="28"/>
        </w:rPr>
        <w:br/>
      </w:r>
      <w:r w:rsidRPr="00875309">
        <w:rPr>
          <w:sz w:val="28"/>
          <w:szCs w:val="28"/>
        </w:rPr>
        <w:t>и бюдж</w:t>
      </w:r>
      <w:r>
        <w:rPr>
          <w:sz w:val="28"/>
          <w:szCs w:val="28"/>
        </w:rPr>
        <w:t xml:space="preserve">етном процессе в Грайворонском городском округе, утвержденного </w:t>
      </w:r>
      <w:r w:rsidRPr="00DB6D1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B6D1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DB6D1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Грайворонского городского округа</w:t>
      </w:r>
      <w:r w:rsidRPr="00DB6D15">
        <w:rPr>
          <w:sz w:val="28"/>
          <w:szCs w:val="28"/>
        </w:rPr>
        <w:t xml:space="preserve"> </w:t>
      </w:r>
      <w:r>
        <w:rPr>
          <w:sz w:val="28"/>
          <w:szCs w:val="28"/>
        </w:rPr>
        <w:t>от 05 декабря</w:t>
      </w:r>
      <w:r w:rsidRPr="00875309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года №52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устройстве и бюджетном процессе в Грайворонском городском округе», в целях своевременного и качественного составления проекта бюджета Грайворонского городского округа на 2024 год </w:t>
      </w:r>
      <w:r>
        <w:rPr>
          <w:sz w:val="28"/>
          <w:szCs w:val="28"/>
        </w:rPr>
        <w:br/>
        <w:t>и на плановый период 2025 и 2026 годов</w:t>
      </w:r>
      <w:r w:rsidRPr="008753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5D56">
        <w:rPr>
          <w:b/>
          <w:spacing w:val="40"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</w:p>
    <w:p w:rsidR="00B94557" w:rsidRPr="00DB6D15" w:rsidRDefault="00B94557" w:rsidP="00B9455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B6D1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B6D15">
        <w:rPr>
          <w:sz w:val="28"/>
          <w:szCs w:val="28"/>
        </w:rPr>
        <w:t>Утвердить</w:t>
      </w:r>
      <w:r w:rsidRPr="007F4191">
        <w:t xml:space="preserve"> </w:t>
      </w:r>
      <w:r w:rsidRPr="007F4191">
        <w:rPr>
          <w:sz w:val="28"/>
          <w:szCs w:val="28"/>
        </w:rPr>
        <w:t>календарн</w:t>
      </w:r>
      <w:r>
        <w:rPr>
          <w:sz w:val="28"/>
          <w:szCs w:val="28"/>
        </w:rPr>
        <w:t>ый</w:t>
      </w:r>
      <w:r w:rsidRPr="007F4191">
        <w:rPr>
          <w:sz w:val="28"/>
          <w:szCs w:val="28"/>
        </w:rPr>
        <w:t xml:space="preserve"> план составления проекта бюджета Грайворонского г</w:t>
      </w:r>
      <w:r>
        <w:rPr>
          <w:sz w:val="28"/>
          <w:szCs w:val="28"/>
        </w:rPr>
        <w:t xml:space="preserve">ородского округа на 2024 год и </w:t>
      </w:r>
      <w:r w:rsidRPr="007F4191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br/>
      </w:r>
      <w:r w:rsidRPr="007F4191">
        <w:rPr>
          <w:sz w:val="28"/>
          <w:szCs w:val="28"/>
        </w:rPr>
        <w:t>2025 и 2026</w:t>
      </w:r>
      <w:r>
        <w:rPr>
          <w:sz w:val="28"/>
          <w:szCs w:val="28"/>
        </w:rPr>
        <w:t xml:space="preserve"> </w:t>
      </w:r>
      <w:r w:rsidRPr="007F4191">
        <w:rPr>
          <w:sz w:val="28"/>
          <w:szCs w:val="28"/>
        </w:rPr>
        <w:t>годов</w:t>
      </w:r>
      <w:r w:rsidRPr="00DB6D15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приложения №1</w:t>
      </w:r>
      <w:r w:rsidRPr="00DB6D15">
        <w:rPr>
          <w:sz w:val="28"/>
          <w:szCs w:val="28"/>
        </w:rPr>
        <w:t>).</w:t>
      </w:r>
    </w:p>
    <w:p w:rsidR="00B94557" w:rsidRDefault="00B94557" w:rsidP="00B9455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B6D15">
        <w:rPr>
          <w:sz w:val="28"/>
          <w:szCs w:val="28"/>
        </w:rPr>
        <w:t xml:space="preserve">Руководителям отраслевых управлений администрации Грайворонского </w:t>
      </w:r>
      <w:r>
        <w:rPr>
          <w:sz w:val="28"/>
          <w:szCs w:val="28"/>
        </w:rPr>
        <w:t>городского округа</w:t>
      </w:r>
      <w:r w:rsidRPr="00DB6D15">
        <w:rPr>
          <w:sz w:val="28"/>
          <w:szCs w:val="28"/>
        </w:rPr>
        <w:t xml:space="preserve"> обеспечить своевременное представление необходимых материалов и расчетных показателей к проекту бюджета Грайворонского </w:t>
      </w:r>
      <w:r>
        <w:rPr>
          <w:sz w:val="28"/>
          <w:szCs w:val="28"/>
        </w:rPr>
        <w:t>городского округа</w:t>
      </w:r>
      <w:r w:rsidRPr="00DB6D15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и плановый период </w:t>
      </w:r>
      <w:r>
        <w:rPr>
          <w:sz w:val="28"/>
          <w:szCs w:val="28"/>
        </w:rPr>
        <w:br/>
        <w:t>2025</w:t>
      </w:r>
      <w:r w:rsidRPr="00DB6D15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B6D15">
        <w:rPr>
          <w:sz w:val="28"/>
          <w:szCs w:val="28"/>
        </w:rPr>
        <w:t xml:space="preserve"> годов в установленные сроки</w:t>
      </w:r>
      <w:r>
        <w:rPr>
          <w:sz w:val="28"/>
          <w:szCs w:val="28"/>
        </w:rPr>
        <w:t>, утвержденные календарным планом</w:t>
      </w:r>
      <w:r w:rsidRPr="00DB6D15">
        <w:rPr>
          <w:sz w:val="28"/>
          <w:szCs w:val="28"/>
        </w:rPr>
        <w:t>.</w:t>
      </w:r>
    </w:p>
    <w:p w:rsidR="00B94557" w:rsidRDefault="00B94557" w:rsidP="00B9455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Создать бюджетную комиссию Грайворонского городского округа </w:t>
      </w:r>
      <w:r>
        <w:rPr>
          <w:sz w:val="28"/>
          <w:szCs w:val="28"/>
        </w:rPr>
        <w:br/>
        <w:t>и утвердить её состав (приложение №2).</w:t>
      </w:r>
    </w:p>
    <w:p w:rsidR="00B94557" w:rsidRPr="00E56A16" w:rsidRDefault="00B94557" w:rsidP="00B94557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6A16">
        <w:rPr>
          <w:sz w:val="28"/>
          <w:szCs w:val="28"/>
        </w:rPr>
        <w:t>.</w:t>
      </w:r>
      <w:r w:rsidRPr="00E56A16">
        <w:rPr>
          <w:sz w:val="28"/>
          <w:szCs w:val="28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</w:t>
      </w:r>
      <w:r w:rsidRPr="00E56A16">
        <w:rPr>
          <w:sz w:val="28"/>
          <w:szCs w:val="28"/>
        </w:rPr>
        <w:br/>
        <w:t>на официальном сайте органов местного самоуправления Грайворонского городского округа (grajvoron-r31.gosweb.gosuslugi.ru).</w:t>
      </w:r>
    </w:p>
    <w:p w:rsidR="00B94557" w:rsidRPr="00655D89" w:rsidRDefault="00B94557" w:rsidP="00B94557">
      <w:pPr>
        <w:tabs>
          <w:tab w:val="left" w:pos="1134"/>
        </w:tabs>
        <w:ind w:firstLine="708"/>
        <w:jc w:val="both"/>
        <w:rPr>
          <w:b/>
          <w:sz w:val="28"/>
          <w:szCs w:val="28"/>
        </w:rPr>
      </w:pPr>
      <w:r w:rsidRPr="00655D8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655D89">
        <w:rPr>
          <w:sz w:val="28"/>
          <w:szCs w:val="28"/>
        </w:rPr>
        <w:t>Контроль за</w:t>
      </w:r>
      <w:proofErr w:type="gramEnd"/>
      <w:r w:rsidRPr="00655D89">
        <w:rPr>
          <w:sz w:val="28"/>
          <w:szCs w:val="28"/>
        </w:rPr>
        <w:t xml:space="preserve"> исполнением постановления возложить на комитет финансов и налоговой политики администрации Грайворонского городского округа (</w:t>
      </w:r>
      <w:proofErr w:type="spellStart"/>
      <w:r w:rsidRPr="00655D89">
        <w:rPr>
          <w:sz w:val="28"/>
          <w:szCs w:val="28"/>
        </w:rPr>
        <w:t>Ягич</w:t>
      </w:r>
      <w:proofErr w:type="spellEnd"/>
      <w:r w:rsidRPr="00655D89">
        <w:rPr>
          <w:sz w:val="28"/>
          <w:szCs w:val="28"/>
        </w:rPr>
        <w:t xml:space="preserve"> И.Н.).</w:t>
      </w:r>
    </w:p>
    <w:p w:rsidR="002B4C08" w:rsidRDefault="002B4C08" w:rsidP="002B4C08">
      <w:pPr>
        <w:jc w:val="both"/>
        <w:rPr>
          <w:sz w:val="28"/>
          <w:szCs w:val="28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B94557" w:rsidRDefault="00DF5B1A" w:rsidP="00B94557">
      <w:pPr>
        <w:jc w:val="center"/>
        <w:rPr>
          <w:sz w:val="28"/>
          <w:szCs w:val="28"/>
        </w:rPr>
      </w:pPr>
      <w:r>
        <w:br w:type="page"/>
      </w:r>
    </w:p>
    <w:p w:rsidR="00B94557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lastRenderedPageBreak/>
        <w:t>Приложение</w:t>
      </w:r>
      <w:r>
        <w:rPr>
          <w:b/>
          <w:color w:val="000000"/>
          <w:sz w:val="28"/>
          <w:szCs w:val="28"/>
        </w:rPr>
        <w:t xml:space="preserve"> №1</w:t>
      </w: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УТВЕРЖДЕН</w:t>
      </w: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 w:hanging="108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постановлением администрации Грайворонского городского округа</w:t>
      </w:r>
    </w:p>
    <w:p w:rsidR="00B94557" w:rsidRPr="006A20D9" w:rsidRDefault="00B94557" w:rsidP="00B94557">
      <w:pPr>
        <w:spacing w:before="10" w:after="10" w:line="216" w:lineRule="auto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20.09.2023 №577</w:t>
      </w:r>
    </w:p>
    <w:p w:rsidR="00B94557" w:rsidRDefault="00B94557" w:rsidP="00B94557">
      <w:pPr>
        <w:jc w:val="center"/>
        <w:rPr>
          <w:sz w:val="28"/>
          <w:szCs w:val="28"/>
        </w:rPr>
      </w:pPr>
    </w:p>
    <w:p w:rsidR="00B94557" w:rsidRDefault="00B94557" w:rsidP="00B94557">
      <w:pPr>
        <w:jc w:val="center"/>
        <w:rPr>
          <w:sz w:val="28"/>
          <w:szCs w:val="28"/>
        </w:rPr>
      </w:pPr>
    </w:p>
    <w:p w:rsidR="00B94557" w:rsidRPr="00DF5D56" w:rsidRDefault="00B94557" w:rsidP="00B94557">
      <w:pPr>
        <w:jc w:val="center"/>
        <w:rPr>
          <w:b/>
          <w:sz w:val="28"/>
          <w:szCs w:val="28"/>
        </w:rPr>
      </w:pPr>
    </w:p>
    <w:p w:rsidR="00B94557" w:rsidRDefault="00B94557" w:rsidP="00B94557">
      <w:pPr>
        <w:jc w:val="center"/>
        <w:rPr>
          <w:b/>
          <w:sz w:val="28"/>
          <w:szCs w:val="28"/>
        </w:rPr>
      </w:pPr>
      <w:r w:rsidRPr="00DF5D56">
        <w:rPr>
          <w:b/>
          <w:sz w:val="28"/>
          <w:szCs w:val="28"/>
        </w:rPr>
        <w:t xml:space="preserve">КАЛЕНДАРНЫЙ ПЛАН </w:t>
      </w:r>
    </w:p>
    <w:p w:rsidR="00B94557" w:rsidRDefault="00B94557" w:rsidP="00B94557">
      <w:pPr>
        <w:jc w:val="center"/>
        <w:rPr>
          <w:b/>
          <w:sz w:val="28"/>
          <w:szCs w:val="28"/>
        </w:rPr>
      </w:pPr>
      <w:r w:rsidRPr="00DF5D56">
        <w:rPr>
          <w:b/>
          <w:sz w:val="28"/>
          <w:szCs w:val="28"/>
        </w:rPr>
        <w:t xml:space="preserve">составления проекта бюджета Грайворонского городского округа </w:t>
      </w:r>
    </w:p>
    <w:p w:rsidR="00B94557" w:rsidRPr="00DF5D56" w:rsidRDefault="00B94557" w:rsidP="00B94557">
      <w:pPr>
        <w:jc w:val="center"/>
        <w:rPr>
          <w:b/>
          <w:sz w:val="28"/>
          <w:szCs w:val="28"/>
        </w:rPr>
      </w:pPr>
      <w:r w:rsidRPr="00DF5D56">
        <w:rPr>
          <w:b/>
          <w:sz w:val="28"/>
          <w:szCs w:val="28"/>
        </w:rPr>
        <w:t>на 2024 год и плановый период 2025 и 2026 годов</w:t>
      </w:r>
    </w:p>
    <w:p w:rsidR="00B94557" w:rsidRDefault="00B94557" w:rsidP="00B94557">
      <w:pPr>
        <w:jc w:val="center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686"/>
        <w:gridCol w:w="1985"/>
        <w:gridCol w:w="3118"/>
      </w:tblGrid>
      <w:tr w:rsidR="00B94557" w:rsidRPr="00D76F1C" w:rsidTr="007E09D0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6A7B3A" w:rsidRDefault="00B94557" w:rsidP="007E0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B3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7B3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A7B3A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A7B3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6A7B3A" w:rsidRDefault="00B94557" w:rsidP="007E0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B3A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6A7B3A" w:rsidRDefault="00B94557" w:rsidP="007E0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B3A">
              <w:rPr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B3A">
              <w:rPr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  <w:p w:rsidR="00B94557" w:rsidRPr="006A7B3A" w:rsidRDefault="00B94557" w:rsidP="007E0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B3A">
              <w:rPr>
                <w:b/>
                <w:bCs/>
                <w:color w:val="000000"/>
                <w:sz w:val="28"/>
                <w:szCs w:val="28"/>
              </w:rPr>
              <w:t>за исполнение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Довести до сведения главных р</w:t>
            </w:r>
            <w:r>
              <w:rPr>
                <w:color w:val="000000"/>
                <w:sz w:val="28"/>
                <w:szCs w:val="28"/>
              </w:rPr>
              <w:t>аспорядителей бюджетных средств</w:t>
            </w:r>
            <w:r w:rsidRPr="00D76F1C">
              <w:rPr>
                <w:color w:val="000000"/>
                <w:sz w:val="28"/>
                <w:szCs w:val="28"/>
              </w:rPr>
              <w:t xml:space="preserve"> методические указания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по формированию бюджета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и плановый период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годов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 августа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налоговой политики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(И.Н. </w:t>
            </w:r>
            <w:proofErr w:type="spellStart"/>
            <w:r>
              <w:rPr>
                <w:color w:val="000000"/>
                <w:sz w:val="28"/>
                <w:szCs w:val="28"/>
              </w:rPr>
              <w:t>Ягич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>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F1C">
              <w:rPr>
                <w:color w:val="000000"/>
                <w:sz w:val="28"/>
                <w:szCs w:val="28"/>
              </w:rPr>
              <w:t xml:space="preserve">редставить в комитет финансов и налоговой политики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: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D76F1C"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 xml:space="preserve">среднегодовую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среднесписочную численность населения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>;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>фонд заработной платы работников организаций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округу,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в том числе работников бюджетных организаций;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- </w:t>
            </w:r>
            <w:r w:rsidRPr="00D76F1C">
              <w:rPr>
                <w:color w:val="000000"/>
                <w:sz w:val="28"/>
                <w:szCs w:val="28"/>
              </w:rPr>
              <w:t xml:space="preserve">среднемесячную номинальную начисленную заработную плату работников организаций </w:t>
            </w:r>
            <w:r>
              <w:rPr>
                <w:color w:val="000000"/>
                <w:sz w:val="28"/>
                <w:szCs w:val="28"/>
              </w:rPr>
              <w:br/>
              <w:t>по</w:t>
            </w:r>
            <w:r w:rsidRPr="00D76F1C">
              <w:rPr>
                <w:color w:val="000000"/>
                <w:sz w:val="28"/>
                <w:szCs w:val="28"/>
              </w:rPr>
              <w:t xml:space="preserve"> Грайворонскому  </w:t>
            </w:r>
            <w:r>
              <w:rPr>
                <w:color w:val="000000"/>
                <w:sz w:val="28"/>
                <w:szCs w:val="28"/>
              </w:rPr>
              <w:t>городскому округу,</w:t>
            </w:r>
            <w:r w:rsidRPr="00D76F1C">
              <w:rPr>
                <w:color w:val="000000"/>
                <w:sz w:val="28"/>
                <w:szCs w:val="28"/>
              </w:rPr>
              <w:t xml:space="preserve"> в том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>числе работников бюджетны</w:t>
            </w:r>
            <w:r>
              <w:rPr>
                <w:color w:val="000000"/>
                <w:sz w:val="28"/>
                <w:szCs w:val="28"/>
              </w:rPr>
              <w:t>х организаций.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Разработать основные показатели социально-экономического развития Грайворонского городского округа 2024-2026 годы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1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t>экономического развития администрации Грайворонского городского округа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Чепурная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Е.И.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6F1C">
              <w:rPr>
                <w:color w:val="000000"/>
                <w:sz w:val="28"/>
                <w:szCs w:val="28"/>
              </w:rPr>
              <w:t xml:space="preserve">Предоставить в комитет финансов и налоговой политики администрации </w:t>
            </w:r>
            <w:r>
              <w:rPr>
                <w:color w:val="000000"/>
                <w:sz w:val="28"/>
                <w:szCs w:val="28"/>
              </w:rPr>
              <w:t>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прогнозный расчет поступлений в бюджет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на 2024</w:t>
            </w:r>
            <w:r w:rsidRPr="00D76F1C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ожи</w:t>
            </w:r>
            <w:r>
              <w:rPr>
                <w:color w:val="000000"/>
                <w:sz w:val="28"/>
                <w:szCs w:val="28"/>
              </w:rPr>
              <w:t>даемую оценку поступлений за 2023</w:t>
            </w:r>
            <w:r w:rsidRPr="00D76F1C">
              <w:rPr>
                <w:color w:val="000000"/>
                <w:sz w:val="28"/>
                <w:szCs w:val="28"/>
              </w:rPr>
              <w:t xml:space="preserve"> год доходов от сдачи в аренду имущества, доходов, получаемых в виде арендной платы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за земельные участки, доходов от продажи земельных участков, имущества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76F1C">
              <w:rPr>
                <w:color w:val="000000"/>
                <w:sz w:val="28"/>
                <w:szCs w:val="28"/>
              </w:rPr>
              <w:t xml:space="preserve"> находящихся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муниципальной собственности, доходов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от части прибыли муниципальных</w:t>
            </w:r>
            <w:proofErr w:type="gramEnd"/>
            <w:r w:rsidRPr="00D76F1C">
              <w:rPr>
                <w:color w:val="000000"/>
                <w:sz w:val="28"/>
                <w:szCs w:val="28"/>
              </w:rPr>
              <w:t xml:space="preserve"> унитарных предпри</w:t>
            </w:r>
            <w:r>
              <w:rPr>
                <w:color w:val="000000"/>
                <w:sz w:val="28"/>
                <w:szCs w:val="28"/>
              </w:rPr>
              <w:t>ятий в бюджет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, оставшейся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их распоряжении после уплаты налогов, а также налога на имущество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по объекта</w:t>
            </w:r>
            <w:r>
              <w:rPr>
                <w:color w:val="000000"/>
                <w:sz w:val="28"/>
                <w:szCs w:val="28"/>
              </w:rPr>
              <w:t xml:space="preserve">м торгово-офисного назначения </w:t>
            </w:r>
            <w:r>
              <w:rPr>
                <w:color w:val="000000"/>
                <w:sz w:val="28"/>
                <w:szCs w:val="28"/>
              </w:rPr>
              <w:br/>
              <w:t xml:space="preserve">с </w:t>
            </w:r>
            <w:r w:rsidRPr="00D76F1C">
              <w:rPr>
                <w:color w:val="000000"/>
                <w:sz w:val="28"/>
                <w:szCs w:val="28"/>
              </w:rPr>
              <w:t>приложением пояснительной запиской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сентября </w:t>
            </w:r>
            <w:r w:rsidRPr="00D76F1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муниципальной собственности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земельных ресурсов</w:t>
            </w:r>
            <w:r>
              <w:rPr>
                <w:color w:val="000000"/>
                <w:sz w:val="28"/>
                <w:szCs w:val="28"/>
              </w:rPr>
              <w:t xml:space="preserve"> администрации Грайворонского городского округа </w:t>
            </w:r>
            <w:r w:rsidRPr="00D76F1C">
              <w:rPr>
                <w:color w:val="000000"/>
                <w:sz w:val="28"/>
                <w:szCs w:val="28"/>
              </w:rPr>
              <w:t xml:space="preserve"> (Зайцев А.В.)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6F1C">
              <w:rPr>
                <w:color w:val="000000"/>
                <w:sz w:val="28"/>
                <w:szCs w:val="28"/>
              </w:rPr>
              <w:t>Произвести прогнозный расчёт поступлений платы за негативное воздейс</w:t>
            </w:r>
            <w:r>
              <w:rPr>
                <w:color w:val="000000"/>
                <w:sz w:val="28"/>
                <w:szCs w:val="28"/>
              </w:rPr>
              <w:t xml:space="preserve">твие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 окружающую среду </w:t>
            </w:r>
            <w:r>
              <w:rPr>
                <w:color w:val="000000"/>
                <w:sz w:val="28"/>
                <w:szCs w:val="28"/>
              </w:rPr>
              <w:br/>
              <w:t>на 2024 - 2026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доле, зачисляемой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бюджет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, прогноз поступлений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администрируемым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штрафам на 2024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и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представить в комитет финансов и налоговой политики администрации  </w:t>
            </w:r>
            <w:r>
              <w:rPr>
                <w:color w:val="000000"/>
                <w:sz w:val="28"/>
                <w:szCs w:val="28"/>
              </w:rPr>
              <w:t>Грайворонского городского округа</w:t>
            </w:r>
            <w:proofErr w:type="gramEnd"/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 20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Росприроднадзора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Белгородской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>области (</w:t>
            </w:r>
            <w:r>
              <w:rPr>
                <w:color w:val="000000"/>
                <w:sz w:val="28"/>
                <w:szCs w:val="28"/>
              </w:rPr>
              <w:t>Карякин А.Ф.</w:t>
            </w:r>
            <w:r w:rsidRPr="00D76F1C">
              <w:rPr>
                <w:color w:val="000000"/>
                <w:sz w:val="28"/>
                <w:szCs w:val="28"/>
              </w:rPr>
              <w:t>) (по согласованию)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Разработать и представить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в </w:t>
            </w:r>
            <w:r w:rsidRPr="00D76F1C"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прогнозы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администрируемым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штрафам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и ожи</w:t>
            </w:r>
            <w:r>
              <w:rPr>
                <w:color w:val="000000"/>
                <w:sz w:val="28"/>
                <w:szCs w:val="28"/>
              </w:rPr>
              <w:t>даемую оценку поступлений за 2023</w:t>
            </w:r>
            <w:r w:rsidRPr="00D76F1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</w:t>
            </w:r>
            <w:r w:rsidRPr="00D76F1C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Федеральная служба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надзору в сфере защиты прав потребителей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благополучия человека по Белгородской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Оглезнева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Е.Е.)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t xml:space="preserve">экологического </w:t>
            </w:r>
            <w:r>
              <w:rPr>
                <w:color w:val="000000"/>
                <w:sz w:val="28"/>
                <w:szCs w:val="28"/>
              </w:rPr>
              <w:br/>
              <w:t>и охотничьего надзора</w:t>
            </w:r>
            <w:r w:rsidRPr="00D76F1C">
              <w:rPr>
                <w:color w:val="000000"/>
                <w:sz w:val="28"/>
                <w:szCs w:val="28"/>
              </w:rPr>
              <w:t xml:space="preserve"> Белгородской области (</w:t>
            </w:r>
            <w:proofErr w:type="spellStart"/>
            <w:r>
              <w:rPr>
                <w:color w:val="000000"/>
                <w:sz w:val="28"/>
                <w:szCs w:val="28"/>
              </w:rPr>
              <w:t>Гоц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А.П.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Управление ветеринарии Белгородской области (</w:t>
            </w:r>
            <w:r>
              <w:rPr>
                <w:color w:val="000000"/>
                <w:sz w:val="28"/>
                <w:szCs w:val="28"/>
              </w:rPr>
              <w:t>Кравцов Д.М.</w:t>
            </w:r>
            <w:r w:rsidRPr="00D76F1C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8335C5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Разработать и представить  </w:t>
            </w:r>
            <w:r>
              <w:rPr>
                <w:color w:val="000000"/>
                <w:sz w:val="28"/>
                <w:szCs w:val="28"/>
              </w:rPr>
              <w:br/>
              <w:t xml:space="preserve">в </w:t>
            </w:r>
            <w:r w:rsidRPr="00D76F1C"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налоговой политики администрации 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>Грайворонског</w:t>
            </w:r>
            <w:r>
              <w:rPr>
                <w:color w:val="000000"/>
                <w:sz w:val="28"/>
                <w:szCs w:val="28"/>
              </w:rPr>
              <w:t>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прогнозы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администрируемым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доходным исто</w:t>
            </w:r>
            <w:r>
              <w:rPr>
                <w:color w:val="000000"/>
                <w:sz w:val="28"/>
                <w:szCs w:val="28"/>
              </w:rPr>
              <w:t>чникам бюджета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24-</w:t>
            </w:r>
            <w:r w:rsidRPr="00D76F1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с приложением пояснительной записки,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налоговым доходам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видам доходных источников и штрафам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за нарушение налогового законодательства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</w:t>
            </w:r>
            <w:r w:rsidRPr="00D76F1C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76F1C">
              <w:rPr>
                <w:color w:val="000000"/>
                <w:sz w:val="28"/>
                <w:szCs w:val="28"/>
              </w:rPr>
              <w:t xml:space="preserve">ФНС России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Белгородской области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Попова Н.Е.</w:t>
            </w:r>
            <w:r w:rsidRPr="00D76F1C">
              <w:rPr>
                <w:color w:val="000000"/>
                <w:sz w:val="28"/>
                <w:szCs w:val="28"/>
              </w:rPr>
              <w:t xml:space="preserve">) 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Представить в комитет финансов и налоговой политики админ</w:t>
            </w:r>
            <w:r>
              <w:rPr>
                <w:color w:val="000000"/>
                <w:sz w:val="28"/>
                <w:szCs w:val="28"/>
              </w:rPr>
              <w:t>истрации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отчёты с учётом показателей по крупным плательщикам: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 xml:space="preserve">о начисленных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поступивших суммах платежей в бюджет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по местным налогам, сборам, налогу на доходы физических лиц и единому сельскохозяйственному налогу за 20</w:t>
            </w:r>
            <w:r>
              <w:rPr>
                <w:color w:val="000000"/>
                <w:sz w:val="28"/>
                <w:szCs w:val="28"/>
              </w:rPr>
              <w:t xml:space="preserve">22 год </w:t>
            </w:r>
            <w:r>
              <w:rPr>
                <w:color w:val="000000"/>
                <w:sz w:val="28"/>
                <w:szCs w:val="28"/>
              </w:rPr>
              <w:br/>
              <w:t>и 1</w:t>
            </w:r>
            <w:r w:rsidRPr="00D76F1C">
              <w:rPr>
                <w:color w:val="000000"/>
                <w:sz w:val="28"/>
                <w:szCs w:val="28"/>
              </w:rPr>
              <w:t xml:space="preserve"> полугодие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года;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D76F1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 xml:space="preserve">налога, взимаемого в виде стоимости патента в связи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применением упрощенной системы налогообложения за первое полугодие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</w:t>
            </w:r>
            <w:r w:rsidRPr="00D76F1C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76F1C">
              <w:rPr>
                <w:color w:val="000000"/>
                <w:sz w:val="28"/>
                <w:szCs w:val="28"/>
              </w:rPr>
              <w:t xml:space="preserve">ФНС России 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Белгородской области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Попова Н.Е.</w:t>
            </w:r>
            <w:r w:rsidRPr="00D76F1C">
              <w:rPr>
                <w:color w:val="000000"/>
                <w:sz w:val="28"/>
                <w:szCs w:val="28"/>
              </w:rPr>
              <w:t xml:space="preserve">) 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F5D56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F5D5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Подтвердить свои </w:t>
            </w:r>
            <w:r w:rsidRPr="001F11BD">
              <w:rPr>
                <w:color w:val="000000"/>
                <w:sz w:val="28"/>
                <w:szCs w:val="28"/>
              </w:rPr>
              <w:t xml:space="preserve">полномочия </w:t>
            </w:r>
            <w:r>
              <w:rPr>
                <w:color w:val="000000"/>
                <w:sz w:val="28"/>
                <w:szCs w:val="28"/>
              </w:rPr>
              <w:br/>
            </w:r>
            <w:r w:rsidRPr="001F11BD">
              <w:rPr>
                <w:color w:val="000000"/>
                <w:sz w:val="28"/>
                <w:szCs w:val="28"/>
              </w:rPr>
              <w:t xml:space="preserve">по администрированию доходов бюджета городского округа (по видам </w:t>
            </w:r>
            <w:r w:rsidRPr="001F11BD">
              <w:rPr>
                <w:color w:val="000000"/>
                <w:sz w:val="28"/>
                <w:szCs w:val="28"/>
              </w:rPr>
              <w:lastRenderedPageBreak/>
              <w:t>доходов) с приложением соответствующего нормативного правового акта и представить предложения в комитет финансов и налоговой политики администрации Грайворонского городского округа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91455E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91455E">
              <w:rPr>
                <w:color w:val="000000"/>
                <w:sz w:val="28"/>
                <w:szCs w:val="28"/>
              </w:rPr>
              <w:t>о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145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Pr="0091455E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455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Администраторы доходов бюджета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, органы исполнительной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 xml:space="preserve">власти 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и государственные органы Белгородской области, территориальные органы федеральных органов исполнительной власти (по согласованию)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Представить в комитет финансов и налоговой политик</w:t>
            </w:r>
            <w:r>
              <w:rPr>
                <w:color w:val="000000"/>
                <w:sz w:val="28"/>
                <w:szCs w:val="28"/>
              </w:rPr>
              <w:t>и администрации  Грайворонского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информацию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о протяженности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разрезе категорий, зарегистрированных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в муниципальной собственности</w:t>
            </w:r>
            <w:r>
              <w:rPr>
                <w:color w:val="000000"/>
                <w:sz w:val="28"/>
                <w:szCs w:val="28"/>
              </w:rPr>
              <w:t xml:space="preserve"> по состоянию на 1 января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 2023</w:t>
            </w:r>
            <w:r w:rsidRPr="00D76F1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ЖКХ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  <w:p w:rsidR="00B94557" w:rsidRDefault="00B94557" w:rsidP="007E09D0">
            <w:pPr>
              <w:jc w:val="center"/>
              <w:rPr>
                <w:color w:val="000000"/>
              </w:rPr>
            </w:pPr>
          </w:p>
          <w:p w:rsidR="00B94557" w:rsidRPr="0098689C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Pr="00D76F1C">
              <w:rPr>
                <w:color w:val="000000"/>
                <w:sz w:val="28"/>
                <w:szCs w:val="28"/>
              </w:rPr>
              <w:t xml:space="preserve">прогноз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приложением пояснительной записки, </w:t>
            </w:r>
            <w:r>
              <w:rPr>
                <w:color w:val="000000"/>
                <w:sz w:val="28"/>
                <w:szCs w:val="28"/>
              </w:rPr>
              <w:t>ожидаемую оценку платежей за 2023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по учреждениям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>налога на имущество организаций;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 xml:space="preserve">остаточной стоимости движимого имущества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для целей налогообложения;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- земельного налога;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>доходов от оказания платных услуг.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 2023</w:t>
            </w:r>
            <w:r w:rsidRPr="00D76F1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Аппарат главы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(Адаменко Е.А)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(Безгодько В.</w:t>
            </w:r>
            <w:r w:rsidRPr="00D76F1C">
              <w:rPr>
                <w:color w:val="000000"/>
                <w:sz w:val="28"/>
                <w:szCs w:val="28"/>
              </w:rPr>
              <w:t>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Управление культуры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Трунова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  <w:r w:rsidRPr="00D76F1C">
              <w:rPr>
                <w:color w:val="000000"/>
                <w:sz w:val="28"/>
                <w:szCs w:val="28"/>
              </w:rPr>
              <w:t>И.)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Борисова Т.А.)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1B037C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дополнительного образования «Спортивная школа» г</w:t>
            </w:r>
            <w:proofErr w:type="gramStart"/>
            <w:r w:rsidRPr="001B037C">
              <w:rPr>
                <w:sz w:val="28"/>
                <w:szCs w:val="28"/>
              </w:rPr>
              <w:t>.Г</w:t>
            </w:r>
            <w:proofErr w:type="gramEnd"/>
            <w:r w:rsidRPr="001B037C">
              <w:rPr>
                <w:sz w:val="28"/>
                <w:szCs w:val="28"/>
              </w:rPr>
              <w:t>райворона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Лыжов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И.А.)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</w:t>
            </w:r>
            <w:r w:rsidRPr="00D76F1C">
              <w:rPr>
                <w:color w:val="000000"/>
                <w:sz w:val="28"/>
                <w:szCs w:val="28"/>
              </w:rPr>
              <w:t>в комитет финансов и налоговой политик</w:t>
            </w:r>
            <w:r>
              <w:rPr>
                <w:color w:val="000000"/>
                <w:sz w:val="28"/>
                <w:szCs w:val="28"/>
              </w:rPr>
              <w:t>и администрации  Грайворонского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данные о штатной численно</w:t>
            </w:r>
            <w:r>
              <w:rPr>
                <w:color w:val="000000"/>
                <w:sz w:val="28"/>
                <w:szCs w:val="28"/>
              </w:rPr>
              <w:t xml:space="preserve">сти работников </w:t>
            </w:r>
            <w:r>
              <w:rPr>
                <w:color w:val="000000"/>
                <w:sz w:val="28"/>
                <w:szCs w:val="28"/>
              </w:rPr>
              <w:br/>
              <w:t>на 01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года, планируемых изменениях структур и их численности на 20</w:t>
            </w:r>
            <w:r>
              <w:rPr>
                <w:color w:val="000000"/>
                <w:sz w:val="28"/>
                <w:szCs w:val="28"/>
              </w:rPr>
              <w:t>24 год и плановый период 2025</w:t>
            </w:r>
            <w:r w:rsidRPr="00D76F1C"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в разрезе должностей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 2023 </w:t>
            </w:r>
            <w:r w:rsidRPr="00D76F1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Аппарат главы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(Адаменко Е.</w:t>
            </w:r>
            <w:r w:rsidRPr="00D76F1C">
              <w:rPr>
                <w:color w:val="000000"/>
                <w:sz w:val="28"/>
                <w:szCs w:val="28"/>
              </w:rPr>
              <w:t>А)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(Безгодько В.</w:t>
            </w:r>
            <w:r w:rsidRPr="00D76F1C">
              <w:rPr>
                <w:color w:val="000000"/>
                <w:sz w:val="28"/>
                <w:szCs w:val="28"/>
              </w:rPr>
              <w:t>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Трунова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  <w:r w:rsidRPr="00D76F1C">
              <w:rPr>
                <w:color w:val="000000"/>
                <w:sz w:val="28"/>
                <w:szCs w:val="28"/>
              </w:rPr>
              <w:t>И.)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>(</w:t>
            </w:r>
            <w:r>
              <w:rPr>
                <w:color w:val="000000"/>
                <w:sz w:val="28"/>
                <w:szCs w:val="28"/>
              </w:rPr>
              <w:t>Борисова Т.А.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1B037C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дополнительного образования «Спортивная школа» г</w:t>
            </w:r>
            <w:proofErr w:type="gramStart"/>
            <w:r w:rsidRPr="001B037C">
              <w:rPr>
                <w:sz w:val="28"/>
                <w:szCs w:val="28"/>
              </w:rPr>
              <w:t>.Г</w:t>
            </w:r>
            <w:proofErr w:type="gramEnd"/>
            <w:r w:rsidRPr="001B037C">
              <w:rPr>
                <w:sz w:val="28"/>
                <w:szCs w:val="28"/>
              </w:rPr>
              <w:t>райворона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Лыжов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И.А.)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Представить  в комитет финансов и нал</w:t>
            </w:r>
            <w:r>
              <w:rPr>
                <w:color w:val="000000"/>
                <w:sz w:val="28"/>
                <w:szCs w:val="28"/>
              </w:rPr>
              <w:t>оговой политики администрации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лимиты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натуральном выражении, тарифы и объемы расходов на электрическую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тепловую энергию, газ, воду и водоотведение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годы, необходимые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для обеспечения нужд организаций, финансируемых из бюджета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, по отраслям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в разрезе учреждений;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 xml:space="preserve">лимиты потребления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объемы расходов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тепловую энергию,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учетом дополнительной детализации в разрезе учреждений, участвующих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в энергосберегающих мероприятиях, с указ</w:t>
            </w:r>
            <w:r>
              <w:rPr>
                <w:color w:val="000000"/>
                <w:sz w:val="28"/>
                <w:szCs w:val="28"/>
              </w:rPr>
              <w:t xml:space="preserve">анием фактических объемов </w:t>
            </w:r>
            <w:r>
              <w:rPr>
                <w:color w:val="000000"/>
                <w:sz w:val="28"/>
                <w:szCs w:val="28"/>
              </w:rPr>
              <w:br/>
              <w:t>за 2023</w:t>
            </w:r>
            <w:r w:rsidRPr="00D76F1C">
              <w:rPr>
                <w:color w:val="000000"/>
                <w:sz w:val="28"/>
                <w:szCs w:val="28"/>
              </w:rPr>
              <w:t xml:space="preserve"> год, а также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76F1C">
              <w:rPr>
                <w:color w:val="000000"/>
                <w:sz w:val="28"/>
                <w:szCs w:val="28"/>
              </w:rPr>
              <w:t>оответствующие</w:t>
            </w:r>
            <w:r>
              <w:rPr>
                <w:color w:val="000000"/>
                <w:sz w:val="28"/>
                <w:szCs w:val="28"/>
              </w:rPr>
              <w:t xml:space="preserve"> расчеты на 2024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выделением из общего объема лимитов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натуральном и денежном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 xml:space="preserve">выражениях расчетной (плановой) экономии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соответствующий финансовый год;</w:t>
            </w:r>
            <w:proofErr w:type="gramEnd"/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 xml:space="preserve">анализ исполнения утвержденных лимитов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тепловую энергию, электроэнергию, газ, воду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канализацию </w:t>
            </w:r>
            <w:r>
              <w:rPr>
                <w:color w:val="000000"/>
                <w:sz w:val="28"/>
                <w:szCs w:val="28"/>
              </w:rPr>
              <w:br/>
            </w:r>
            <w:r w:rsidRPr="00997DF2">
              <w:rPr>
                <w:color w:val="000000"/>
                <w:sz w:val="28"/>
                <w:szCs w:val="28"/>
              </w:rPr>
              <w:t xml:space="preserve">за 2021-2022 годы, ожидаемое исполнение </w:t>
            </w:r>
            <w:r w:rsidRPr="00997DF2">
              <w:rPr>
                <w:color w:val="000000"/>
                <w:sz w:val="28"/>
                <w:szCs w:val="28"/>
              </w:rPr>
              <w:br/>
              <w:t>за 2023 год в разрезе</w:t>
            </w:r>
            <w:r w:rsidRPr="00D76F1C">
              <w:rPr>
                <w:color w:val="000000"/>
                <w:sz w:val="28"/>
                <w:szCs w:val="28"/>
              </w:rPr>
              <w:t xml:space="preserve"> отраслей и учреждений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до 20 сентября </w:t>
            </w:r>
            <w:r w:rsidRPr="00D76F1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ЖКХ и ТЭК администрации Грайворонского</w:t>
            </w:r>
            <w:r>
              <w:rPr>
                <w:color w:val="000000"/>
                <w:sz w:val="28"/>
                <w:szCs w:val="28"/>
              </w:rPr>
              <w:t xml:space="preserve"> 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</w:t>
            </w:r>
            <w:r>
              <w:rPr>
                <w:color w:val="000000"/>
                <w:sz w:val="28"/>
                <w:szCs w:val="28"/>
              </w:rPr>
              <w:t>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>: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 xml:space="preserve">ведомственные перечни муниципальных услуг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работ, оказываемых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выполняемых муниципальными учреждениями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>;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- проекты муниципальных заданий, рассчитанные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основании ведомственных перечней муниципальных услуг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работ, выполняемых муниципальными учреждениями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с учетом нормативных затрат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оказание муниципальных услуг;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>паспорта муниципальных программ, проекты изменений муниципальных программ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Аппарат главы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(Адаменко Е.</w:t>
            </w:r>
            <w:r w:rsidRPr="00D76F1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color w:val="000000"/>
                <w:sz w:val="28"/>
                <w:szCs w:val="28"/>
              </w:rPr>
              <w:t>администрации  Грайворонского  городского округа (Борисова Т.А)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(Б</w:t>
            </w:r>
            <w:r>
              <w:rPr>
                <w:color w:val="000000"/>
                <w:sz w:val="28"/>
                <w:szCs w:val="28"/>
              </w:rPr>
              <w:t>езгодько В.</w:t>
            </w:r>
            <w:r w:rsidRPr="00D76F1C">
              <w:rPr>
                <w:color w:val="000000"/>
                <w:sz w:val="28"/>
                <w:szCs w:val="28"/>
              </w:rPr>
              <w:t>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Трунова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Д.И.)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1B037C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дополнительного образования «Спортивная школа» г</w:t>
            </w:r>
            <w:proofErr w:type="gramStart"/>
            <w:r w:rsidRPr="001B037C">
              <w:rPr>
                <w:sz w:val="28"/>
                <w:szCs w:val="28"/>
              </w:rPr>
              <w:t>.Г</w:t>
            </w:r>
            <w:proofErr w:type="gramEnd"/>
            <w:r w:rsidRPr="001B037C">
              <w:rPr>
                <w:sz w:val="28"/>
                <w:szCs w:val="28"/>
              </w:rPr>
              <w:t>райворона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Лыжов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И.А.)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Совет безопасности администрации Грайворонского</w:t>
            </w:r>
            <w:r>
              <w:rPr>
                <w:color w:val="000000"/>
                <w:sz w:val="28"/>
                <w:szCs w:val="28"/>
              </w:rPr>
              <w:t xml:space="preserve"> городского округа (Радченко В.</w:t>
            </w:r>
            <w:r w:rsidRPr="00D76F1C">
              <w:rPr>
                <w:color w:val="000000"/>
                <w:sz w:val="28"/>
                <w:szCs w:val="28"/>
              </w:rPr>
              <w:t>И.)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4557" w:rsidRPr="00D76F1C" w:rsidTr="007E09D0">
        <w:trPr>
          <w:trHeight w:val="334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прогнозные тарифы на тепловую энергию, электроэнергию, газ, водоснабжение, водоотведение, утилизацию и захоронение ТБО, ЖБО, для всех групп потребителей на </w:t>
            </w:r>
            <w:r>
              <w:rPr>
                <w:color w:val="000000"/>
                <w:sz w:val="28"/>
                <w:szCs w:val="28"/>
              </w:rPr>
              <w:t>2024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сентября 2023 года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Р.Г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</w:t>
            </w:r>
            <w:r w:rsidRPr="00D76F1C">
              <w:rPr>
                <w:color w:val="000000"/>
                <w:sz w:val="28"/>
                <w:szCs w:val="28"/>
              </w:rPr>
              <w:t>в комитет финансов и налоговой политики админи</w:t>
            </w:r>
            <w:r>
              <w:rPr>
                <w:color w:val="000000"/>
                <w:sz w:val="28"/>
                <w:szCs w:val="28"/>
              </w:rPr>
              <w:t>страции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>: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6F1C">
              <w:rPr>
                <w:color w:val="000000"/>
                <w:sz w:val="28"/>
                <w:szCs w:val="28"/>
              </w:rPr>
              <w:t xml:space="preserve">расчет потребности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текущее содержание объектов благоустройства (освещение улиц, озеленение населенных </w:t>
            </w:r>
            <w:r w:rsidRPr="00D76F1C">
              <w:rPr>
                <w:color w:val="000000"/>
                <w:sz w:val="28"/>
                <w:szCs w:val="28"/>
              </w:rPr>
              <w:lastRenderedPageBreak/>
              <w:t xml:space="preserve">пунктов), а также тарифы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оплате работ и услуг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по текущему содержанию объектов благоустройства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годы;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76F1C">
              <w:rPr>
                <w:color w:val="000000"/>
                <w:sz w:val="28"/>
                <w:szCs w:val="28"/>
              </w:rPr>
              <w:t xml:space="preserve">- расчеты по погребению (согласно гарантированному перечню услуг, необходимых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возмещение затрат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погребение умерших (погибших) не имеющих близких родственников, иных родственников либо</w:t>
            </w:r>
            <w:r>
              <w:rPr>
                <w:color w:val="000000"/>
                <w:sz w:val="28"/>
                <w:szCs w:val="28"/>
              </w:rPr>
              <w:t xml:space="preserve"> законного представителя, </w:t>
            </w:r>
            <w:r>
              <w:rPr>
                <w:color w:val="000000"/>
                <w:sz w:val="28"/>
                <w:szCs w:val="28"/>
              </w:rPr>
              <w:br/>
              <w:t>на 2022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76F1C"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(в соответствии с Ф</w:t>
            </w:r>
            <w:r>
              <w:rPr>
                <w:color w:val="000000"/>
                <w:sz w:val="28"/>
                <w:szCs w:val="28"/>
              </w:rPr>
              <w:t>едеральным законом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от 12 января 1996 года </w:t>
            </w:r>
            <w:r>
              <w:rPr>
                <w:color w:val="000000"/>
                <w:sz w:val="28"/>
                <w:szCs w:val="28"/>
              </w:rPr>
              <w:br/>
              <w:t>№ 8-ФЗ «</w:t>
            </w:r>
            <w:r w:rsidRPr="00D76F1C">
              <w:rPr>
                <w:color w:val="000000"/>
                <w:sz w:val="28"/>
                <w:szCs w:val="28"/>
              </w:rPr>
              <w:t xml:space="preserve">О погребении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похоронном деле»)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 20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1122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070233" w:rsidRDefault="00B94557" w:rsidP="007E09D0">
            <w:pPr>
              <w:jc w:val="center"/>
              <w:rPr>
                <w:b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бюджет расходов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реализацию мероприятий по организации наружного освещения, стоимости затрат на оплату электроэнергии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технического обслуживания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светоточек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указанием их количества, протяжённости сетей наружного освещения, стоимости затрат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на </w:t>
            </w:r>
            <w:r w:rsidRPr="00070233">
              <w:rPr>
                <w:sz w:val="28"/>
                <w:szCs w:val="28"/>
              </w:rPr>
              <w:t>содержание одной светоточки Грайворонского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на 2024</w:t>
            </w:r>
            <w:r w:rsidRPr="00070233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070233">
              <w:rPr>
                <w:sz w:val="28"/>
                <w:szCs w:val="28"/>
              </w:rPr>
              <w:t xml:space="preserve"> годы;</w:t>
            </w: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динамику фактических расходов, направленных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реализацию мероприятий по организации наружного освещения населенных пунктов Грайворонского</w:t>
            </w:r>
            <w:r w:rsidRPr="00D76F1C">
              <w:rPr>
                <w:color w:val="FF0000"/>
                <w:sz w:val="28"/>
                <w:szCs w:val="28"/>
              </w:rPr>
              <w:t xml:space="preserve"> </w:t>
            </w:r>
            <w:r w:rsidRPr="00760011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за 2021</w:t>
            </w:r>
            <w:r w:rsidRPr="00760011">
              <w:rPr>
                <w:sz w:val="28"/>
                <w:szCs w:val="28"/>
              </w:rPr>
              <w:t>-</w:t>
            </w:r>
            <w:r w:rsidRPr="00D76F1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F1C">
              <w:rPr>
                <w:color w:val="000000"/>
                <w:sz w:val="28"/>
                <w:szCs w:val="28"/>
              </w:rPr>
              <w:t xml:space="preserve">в разрезе статей затрат на оплату электроэнергии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технического обслуживания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светоточек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с указанием их количества, протяжённости сетей наружного освещения, стоимости затрат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содержание одной светоточки</w:t>
            </w:r>
          </w:p>
          <w:p w:rsidR="00B94557" w:rsidRPr="00D76F1C" w:rsidRDefault="00B94557" w:rsidP="007E09D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ЖКХ и ТЭ</w:t>
            </w:r>
            <w:r>
              <w:rPr>
                <w:color w:val="000000"/>
                <w:sz w:val="28"/>
                <w:szCs w:val="28"/>
              </w:rPr>
              <w:t>К администрации Грайворонского 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</w:t>
            </w:r>
            <w:r w:rsidRPr="00D76F1C">
              <w:rPr>
                <w:color w:val="000000"/>
                <w:sz w:val="28"/>
                <w:szCs w:val="28"/>
              </w:rPr>
              <w:t xml:space="preserve">в комитет финансов и налоговой политики </w:t>
            </w:r>
            <w:r>
              <w:rPr>
                <w:color w:val="000000"/>
                <w:sz w:val="28"/>
                <w:szCs w:val="28"/>
              </w:rPr>
              <w:t>администрации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информацию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 количестве </w:t>
            </w:r>
            <w:r w:rsidRPr="00D76F1C">
              <w:rPr>
                <w:color w:val="000000"/>
                <w:sz w:val="28"/>
                <w:szCs w:val="28"/>
              </w:rPr>
              <w:t xml:space="preserve">финансовых затрат на капитальный ремонт, ремонт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содержание автомобильных дорог</w:t>
            </w:r>
            <w:r>
              <w:rPr>
                <w:color w:val="000000"/>
                <w:sz w:val="28"/>
                <w:szCs w:val="28"/>
              </w:rPr>
              <w:t>, находящихся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в </w:t>
            </w:r>
            <w:r w:rsidRPr="00D76F1C">
              <w:rPr>
                <w:color w:val="000000"/>
                <w:sz w:val="28"/>
                <w:szCs w:val="28"/>
              </w:rPr>
              <w:t xml:space="preserve">муниципальной собственности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</w:t>
            </w:r>
            <w:r w:rsidRPr="00D76F1C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расчеты сумм льгот, пособий и субсидий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в разрезе видов и категорий </w:t>
            </w:r>
            <w:r>
              <w:rPr>
                <w:color w:val="000000"/>
                <w:sz w:val="28"/>
                <w:szCs w:val="28"/>
              </w:rPr>
              <w:t>ожидаемого контингента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за счет средств бюджета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Управление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администрации 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Борисова Т.А.)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</w:t>
            </w:r>
            <w:r w:rsidRPr="00D76F1C">
              <w:rPr>
                <w:color w:val="000000"/>
                <w:sz w:val="28"/>
                <w:szCs w:val="28"/>
              </w:rPr>
              <w:t>в комитет финансов и налоговой политики администрац</w:t>
            </w:r>
            <w:r>
              <w:rPr>
                <w:color w:val="000000"/>
                <w:sz w:val="28"/>
                <w:szCs w:val="28"/>
              </w:rPr>
              <w:t xml:space="preserve">ии  Грайворонского городского округа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ообъектный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перечень мероприятий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реконструкции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капитальному ремонту объектов социально- культурной сферы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и инженерному обустрой</w:t>
            </w:r>
            <w:r>
              <w:rPr>
                <w:color w:val="000000"/>
                <w:sz w:val="28"/>
                <w:szCs w:val="28"/>
              </w:rPr>
              <w:t>ству территории Грайворонского городского округа на 2024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годы, 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пообъектный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перечень мероприятий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модернизации (реконструкции) объектов водоснабжения территории 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236EB0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36EB0">
              <w:rPr>
                <w:color w:val="000000"/>
                <w:sz w:val="28"/>
                <w:szCs w:val="28"/>
              </w:rPr>
              <w:t>о 20 сентября 2023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Твердун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  <w:r w:rsidRPr="00D76F1C">
              <w:rPr>
                <w:color w:val="000000"/>
                <w:sz w:val="28"/>
                <w:szCs w:val="28"/>
              </w:rPr>
              <w:t>Г</w:t>
            </w:r>
            <w:r w:rsidRPr="00D76F1C">
              <w:rPr>
                <w:color w:val="000000"/>
              </w:rPr>
              <w:t>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Подготовить п</w:t>
            </w:r>
            <w:r>
              <w:rPr>
                <w:color w:val="000000"/>
                <w:sz w:val="28"/>
                <w:szCs w:val="28"/>
              </w:rPr>
              <w:t>редварительные итоги социально-</w:t>
            </w:r>
            <w:r w:rsidRPr="00D76F1C">
              <w:rPr>
                <w:color w:val="000000"/>
                <w:sz w:val="28"/>
                <w:szCs w:val="28"/>
              </w:rPr>
              <w:t>экономичес</w:t>
            </w:r>
            <w:r>
              <w:rPr>
                <w:color w:val="000000"/>
                <w:sz w:val="28"/>
                <w:szCs w:val="28"/>
              </w:rPr>
              <w:t>кого развития Грайворонского  городского округа за январь-август 2022</w:t>
            </w:r>
            <w:r w:rsidRPr="00D76F1C">
              <w:rPr>
                <w:color w:val="000000"/>
                <w:sz w:val="28"/>
                <w:szCs w:val="28"/>
              </w:rPr>
              <w:t xml:space="preserve"> года </w:t>
            </w:r>
            <w:r>
              <w:rPr>
                <w:color w:val="000000"/>
                <w:sz w:val="28"/>
                <w:szCs w:val="28"/>
              </w:rPr>
              <w:t>и оценку   итогов за 2023 год в целом, прогноза на 2024-2026 годы  и предоставить в комитет финансов и налоговой политики администрации Грайворонского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F1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20 сентября</w:t>
            </w:r>
            <w:r w:rsidRPr="00D76F1C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Управление</w:t>
            </w:r>
            <w:r>
              <w:rPr>
                <w:color w:val="000000"/>
                <w:sz w:val="28"/>
                <w:szCs w:val="28"/>
              </w:rPr>
              <w:t xml:space="preserve"> экономического развития администрации Грайворонского городского округа          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Чепурная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Е.И.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</w:tc>
      </w:tr>
      <w:tr w:rsidR="00B94557" w:rsidRPr="00D76F1C" w:rsidTr="00B94557">
        <w:trPr>
          <w:trHeight w:val="137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Рассмотреть и согласовать на бюджетной комиссии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с главными распорядителями (ра</w:t>
            </w:r>
            <w:r>
              <w:rPr>
                <w:color w:val="000000"/>
                <w:sz w:val="28"/>
                <w:szCs w:val="28"/>
              </w:rPr>
              <w:t xml:space="preserve">спорядителями) средств бюджета </w:t>
            </w:r>
            <w:r w:rsidRPr="00D76F1C">
              <w:rPr>
                <w:color w:val="000000"/>
                <w:sz w:val="28"/>
                <w:szCs w:val="28"/>
              </w:rPr>
              <w:t xml:space="preserve">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проекты бюджетов </w:t>
            </w:r>
            <w:r>
              <w:rPr>
                <w:color w:val="000000"/>
                <w:sz w:val="28"/>
                <w:szCs w:val="28"/>
              </w:rPr>
              <w:br/>
              <w:t>на 2024</w:t>
            </w:r>
            <w:r w:rsidRPr="00D76F1C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годы согласно утвержденному графику предоставл</w:t>
            </w:r>
            <w:r>
              <w:rPr>
                <w:color w:val="000000"/>
                <w:sz w:val="28"/>
                <w:szCs w:val="28"/>
              </w:rPr>
              <w:t xml:space="preserve">ения документов для подготовки </w:t>
            </w:r>
            <w:r w:rsidRPr="00D76F1C">
              <w:rPr>
                <w:color w:val="000000"/>
                <w:sz w:val="28"/>
                <w:szCs w:val="28"/>
              </w:rPr>
              <w:t xml:space="preserve">бюджета </w:t>
            </w:r>
            <w:r>
              <w:rPr>
                <w:color w:val="000000"/>
                <w:sz w:val="28"/>
                <w:szCs w:val="28"/>
              </w:rPr>
              <w:t>Грайворонского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Аппарат главы администрации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(Адаменко </w:t>
            </w:r>
            <w:r>
              <w:rPr>
                <w:color w:val="000000"/>
                <w:sz w:val="28"/>
                <w:szCs w:val="28"/>
              </w:rPr>
              <w:t>Е.</w:t>
            </w:r>
            <w:r w:rsidRPr="00D76F1C">
              <w:rPr>
                <w:color w:val="000000"/>
                <w:sz w:val="28"/>
                <w:szCs w:val="28"/>
              </w:rPr>
              <w:t>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образования администрации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(Безгодько В.</w:t>
            </w:r>
            <w:r w:rsidRPr="00D76F1C">
              <w:rPr>
                <w:color w:val="000000"/>
                <w:sz w:val="28"/>
                <w:szCs w:val="28"/>
              </w:rPr>
              <w:t>А.)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(</w:t>
            </w:r>
            <w:proofErr w:type="spellStart"/>
            <w:r>
              <w:rPr>
                <w:color w:val="000000"/>
                <w:sz w:val="28"/>
                <w:szCs w:val="28"/>
              </w:rPr>
              <w:t>Трунова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  <w:r w:rsidRPr="00D76F1C">
              <w:rPr>
                <w:color w:val="000000"/>
                <w:sz w:val="28"/>
                <w:szCs w:val="28"/>
              </w:rPr>
              <w:t>И.)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Борисова Т.А.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  <w:p w:rsidR="00B94557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94557" w:rsidRDefault="00B94557" w:rsidP="007E09D0">
            <w:pPr>
              <w:jc w:val="center"/>
              <w:rPr>
                <w:color w:val="000000"/>
                <w:sz w:val="28"/>
                <w:szCs w:val="28"/>
              </w:rPr>
            </w:pPr>
            <w:r w:rsidRPr="001B037C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1B037C">
              <w:rPr>
                <w:sz w:val="28"/>
                <w:szCs w:val="28"/>
              </w:rPr>
              <w:t xml:space="preserve"> дополнительного </w:t>
            </w:r>
            <w:r w:rsidRPr="001B037C">
              <w:rPr>
                <w:sz w:val="28"/>
                <w:szCs w:val="28"/>
              </w:rPr>
              <w:lastRenderedPageBreak/>
              <w:t>образования «Спортивная школа» г</w:t>
            </w:r>
            <w:proofErr w:type="gramStart"/>
            <w:r w:rsidRPr="001B037C">
              <w:rPr>
                <w:sz w:val="28"/>
                <w:szCs w:val="28"/>
              </w:rPr>
              <w:t>.Г</w:t>
            </w:r>
            <w:proofErr w:type="gramEnd"/>
            <w:r w:rsidRPr="001B037C">
              <w:rPr>
                <w:sz w:val="28"/>
                <w:szCs w:val="28"/>
              </w:rPr>
              <w:t>райворона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</w:p>
          <w:p w:rsidR="00B94557" w:rsidRPr="00D76F1C" w:rsidRDefault="00B94557" w:rsidP="00B9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76F1C">
              <w:rPr>
                <w:color w:val="000000"/>
                <w:sz w:val="28"/>
                <w:szCs w:val="28"/>
              </w:rPr>
              <w:t>Лыжов</w:t>
            </w:r>
            <w:proofErr w:type="spellEnd"/>
            <w:r w:rsidRPr="00D76F1C">
              <w:rPr>
                <w:color w:val="000000"/>
                <w:sz w:val="28"/>
                <w:szCs w:val="28"/>
              </w:rPr>
              <w:t xml:space="preserve"> И.А.)</w:t>
            </w:r>
          </w:p>
        </w:tc>
      </w:tr>
      <w:tr w:rsidR="00B94557" w:rsidRPr="00D76F1C" w:rsidTr="007E09D0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76F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Внести на рассмотрение </w:t>
            </w:r>
            <w:r>
              <w:rPr>
                <w:color w:val="000000"/>
                <w:sz w:val="28"/>
                <w:szCs w:val="28"/>
              </w:rPr>
              <w:t>Со</w:t>
            </w:r>
            <w:r w:rsidRPr="00D76F1C">
              <w:rPr>
                <w:color w:val="000000"/>
                <w:sz w:val="28"/>
                <w:szCs w:val="28"/>
              </w:rPr>
              <w:t>вета</w:t>
            </w:r>
            <w:r>
              <w:rPr>
                <w:color w:val="000000"/>
                <w:sz w:val="28"/>
                <w:szCs w:val="28"/>
              </w:rPr>
              <w:t xml:space="preserve"> депутатов</w:t>
            </w:r>
            <w:r w:rsidRPr="00D76F1C">
              <w:rPr>
                <w:color w:val="000000"/>
                <w:sz w:val="28"/>
                <w:szCs w:val="28"/>
              </w:rPr>
              <w:t xml:space="preserve"> Грайворонского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проект бюджета Грайворонского городского округа</w:t>
            </w:r>
            <w:r w:rsidRPr="00D76F1C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D76F1C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плановый период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76F1C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76F1C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 ноября 2023</w:t>
            </w:r>
            <w:r w:rsidRPr="00D76F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94557" w:rsidRPr="00D76F1C" w:rsidRDefault="00B94557" w:rsidP="007E0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6F1C"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 w:rsidRPr="00D76F1C">
              <w:rPr>
                <w:color w:val="000000"/>
                <w:sz w:val="28"/>
                <w:szCs w:val="28"/>
              </w:rPr>
              <w:t xml:space="preserve">и налоговой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>городского округа         (</w:t>
            </w:r>
            <w:proofErr w:type="spellStart"/>
            <w:r>
              <w:rPr>
                <w:color w:val="000000"/>
                <w:sz w:val="28"/>
                <w:szCs w:val="28"/>
              </w:rPr>
              <w:t>Ягич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И.Н.</w:t>
            </w:r>
            <w:r w:rsidRPr="00D76F1C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94557" w:rsidRDefault="00B94557" w:rsidP="00B94557">
      <w:pPr>
        <w:ind w:firstLine="708"/>
        <w:contextualSpacing/>
        <w:jc w:val="both"/>
        <w:rPr>
          <w:sz w:val="28"/>
          <w:szCs w:val="28"/>
        </w:rPr>
      </w:pPr>
    </w:p>
    <w:p w:rsidR="00B94557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6A20D9">
        <w:rPr>
          <w:b/>
          <w:color w:val="000000"/>
          <w:sz w:val="28"/>
          <w:szCs w:val="28"/>
        </w:rPr>
        <w:lastRenderedPageBreak/>
        <w:t>Приложение</w:t>
      </w:r>
      <w:r>
        <w:rPr>
          <w:b/>
          <w:color w:val="000000"/>
          <w:sz w:val="28"/>
          <w:szCs w:val="28"/>
        </w:rPr>
        <w:t xml:space="preserve"> №2</w:t>
      </w: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УТВЕРЖДЕН</w:t>
      </w:r>
    </w:p>
    <w:p w:rsidR="00B94557" w:rsidRPr="006A20D9" w:rsidRDefault="00B94557" w:rsidP="00B94557">
      <w:pPr>
        <w:widowControl w:val="0"/>
        <w:shd w:val="clear" w:color="auto" w:fill="FFFFFF"/>
        <w:autoSpaceDE w:val="0"/>
        <w:autoSpaceDN w:val="0"/>
        <w:adjustRightInd w:val="0"/>
        <w:ind w:left="4395" w:hanging="108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постановлением администрации Грайворонского городского округа</w:t>
      </w:r>
    </w:p>
    <w:p w:rsidR="00B94557" w:rsidRPr="006A20D9" w:rsidRDefault="00B94557" w:rsidP="00B94557">
      <w:pPr>
        <w:spacing w:before="10" w:after="10" w:line="216" w:lineRule="auto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20.09.2023 №577</w:t>
      </w:r>
    </w:p>
    <w:p w:rsidR="00B94557" w:rsidRDefault="00B94557" w:rsidP="00B94557">
      <w:pPr>
        <w:jc w:val="center"/>
        <w:rPr>
          <w:sz w:val="28"/>
          <w:szCs w:val="28"/>
        </w:rPr>
      </w:pPr>
    </w:p>
    <w:p w:rsidR="00B94557" w:rsidRDefault="00B94557" w:rsidP="00B94557">
      <w:pPr>
        <w:contextualSpacing/>
        <w:jc w:val="center"/>
        <w:rPr>
          <w:b/>
          <w:sz w:val="28"/>
          <w:szCs w:val="28"/>
        </w:rPr>
      </w:pPr>
    </w:p>
    <w:p w:rsidR="00B94557" w:rsidRDefault="00B94557" w:rsidP="00B94557">
      <w:pPr>
        <w:contextualSpacing/>
        <w:jc w:val="center"/>
        <w:rPr>
          <w:b/>
          <w:sz w:val="28"/>
          <w:szCs w:val="28"/>
        </w:rPr>
      </w:pPr>
    </w:p>
    <w:p w:rsidR="00B94557" w:rsidRPr="008335C5" w:rsidRDefault="00B94557" w:rsidP="00B94557">
      <w:pPr>
        <w:contextualSpacing/>
        <w:jc w:val="center"/>
        <w:rPr>
          <w:b/>
          <w:sz w:val="28"/>
          <w:szCs w:val="28"/>
        </w:rPr>
      </w:pPr>
      <w:r w:rsidRPr="008335C5">
        <w:rPr>
          <w:b/>
          <w:sz w:val="28"/>
          <w:szCs w:val="28"/>
        </w:rPr>
        <w:t>СОСТАВ</w:t>
      </w:r>
    </w:p>
    <w:p w:rsidR="00B94557" w:rsidRDefault="00B94557" w:rsidP="00B94557">
      <w:pPr>
        <w:contextualSpacing/>
        <w:jc w:val="center"/>
        <w:rPr>
          <w:b/>
          <w:sz w:val="28"/>
          <w:szCs w:val="28"/>
        </w:rPr>
      </w:pPr>
      <w:r w:rsidRPr="008335C5">
        <w:rPr>
          <w:b/>
          <w:sz w:val="28"/>
          <w:szCs w:val="28"/>
        </w:rPr>
        <w:t>бюджетной комиссии Грайворонского городского округа</w:t>
      </w:r>
    </w:p>
    <w:p w:rsidR="00B94557" w:rsidRDefault="00B94557" w:rsidP="00B94557">
      <w:pPr>
        <w:contextualSpacing/>
        <w:jc w:val="center"/>
        <w:rPr>
          <w:b/>
          <w:sz w:val="28"/>
          <w:szCs w:val="28"/>
        </w:rPr>
      </w:pPr>
    </w:p>
    <w:p w:rsidR="00B94557" w:rsidRDefault="00B94557" w:rsidP="00B94557">
      <w:pPr>
        <w:jc w:val="both"/>
      </w:pPr>
    </w:p>
    <w:tbl>
      <w:tblPr>
        <w:tblW w:w="0" w:type="auto"/>
        <w:tblLook w:val="04A0"/>
      </w:tblPr>
      <w:tblGrid>
        <w:gridCol w:w="3369"/>
        <w:gridCol w:w="567"/>
        <w:gridCol w:w="5918"/>
      </w:tblGrid>
      <w:tr w:rsidR="00B94557" w:rsidRPr="008335C5" w:rsidTr="007E09D0">
        <w:tc>
          <w:tcPr>
            <w:tcW w:w="3369" w:type="dxa"/>
            <w:shd w:val="clear" w:color="auto" w:fill="auto"/>
          </w:tcPr>
          <w:p w:rsidR="00B94557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Ягич</w:t>
            </w:r>
            <w:proofErr w:type="spellEnd"/>
            <w:r w:rsidRPr="008335C5">
              <w:rPr>
                <w:sz w:val="28"/>
                <w:szCs w:val="28"/>
              </w:rPr>
              <w:t xml:space="preserve">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Инна Николаевна</w:t>
            </w:r>
          </w:p>
        </w:tc>
        <w:tc>
          <w:tcPr>
            <w:tcW w:w="567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8335C5">
              <w:rPr>
                <w:sz w:val="28"/>
                <w:szCs w:val="28"/>
              </w:rPr>
              <w:t>председателя комитета финансов и налоговой политики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</w:t>
            </w:r>
            <w:r w:rsidRPr="008335C5">
              <w:rPr>
                <w:sz w:val="28"/>
                <w:szCs w:val="28"/>
              </w:rPr>
              <w:t>, председатель бюджетной комиссии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Бессалов</w:t>
            </w:r>
            <w:proofErr w:type="spellEnd"/>
            <w:r w:rsidRPr="008335C5">
              <w:rPr>
                <w:sz w:val="28"/>
                <w:szCs w:val="28"/>
              </w:rPr>
              <w:t xml:space="preserve">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Станислав Юрьевич</w:t>
            </w:r>
          </w:p>
        </w:tc>
        <w:tc>
          <w:tcPr>
            <w:tcW w:w="567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>ачальник отдела доходов</w:t>
            </w:r>
            <w:r>
              <w:rPr>
                <w:sz w:val="28"/>
                <w:szCs w:val="28"/>
              </w:rPr>
              <w:t xml:space="preserve"> </w:t>
            </w:r>
            <w:r w:rsidRPr="008335C5">
              <w:rPr>
                <w:sz w:val="28"/>
                <w:szCs w:val="28"/>
              </w:rPr>
              <w:t>комитета финансов и налоговой политики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</w:t>
            </w:r>
            <w:r w:rsidRPr="008335C5">
              <w:rPr>
                <w:sz w:val="28"/>
                <w:szCs w:val="28"/>
              </w:rPr>
              <w:t>, секретарь бюджетной комиссии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9854" w:type="dxa"/>
            <w:gridSpan w:val="3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8335C5">
              <w:rPr>
                <w:b/>
                <w:sz w:val="28"/>
                <w:szCs w:val="28"/>
              </w:rPr>
              <w:t>Члены бюджетной комиссии: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Адаменко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Евгения Анатольевна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35C5">
              <w:rPr>
                <w:sz w:val="28"/>
                <w:szCs w:val="28"/>
              </w:rPr>
              <w:t xml:space="preserve">аместитель главы администрации городского округа – руководитель аппарата главы администрации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Ванина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Марина Вячеславовна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35C5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Грайворонского </w:t>
            </w:r>
            <w:r w:rsidRPr="008335C5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br/>
            </w:r>
            <w:r w:rsidRPr="008335C5">
              <w:rPr>
                <w:sz w:val="28"/>
                <w:szCs w:val="28"/>
              </w:rPr>
              <w:t>по социальной политике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Твердун</w:t>
            </w:r>
            <w:proofErr w:type="spellEnd"/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Роман Григорьевич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35C5">
              <w:rPr>
                <w:sz w:val="28"/>
                <w:szCs w:val="28"/>
              </w:rPr>
              <w:t xml:space="preserve">аместитель главы администрации городского округа – начальник управления </w:t>
            </w:r>
            <w:r>
              <w:rPr>
                <w:sz w:val="28"/>
                <w:szCs w:val="28"/>
              </w:rPr>
              <w:br/>
            </w:r>
            <w:r w:rsidRPr="008335C5">
              <w:rPr>
                <w:sz w:val="28"/>
                <w:szCs w:val="28"/>
              </w:rPr>
              <w:t>по строительству, транспорту, ЖКХ и ТЭК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Чепурная</w:t>
            </w:r>
            <w:proofErr w:type="spellEnd"/>
            <w:r w:rsidRPr="008335C5">
              <w:rPr>
                <w:sz w:val="28"/>
                <w:szCs w:val="28"/>
              </w:rPr>
              <w:t xml:space="preserve">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67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>ачальник управления экономического  развития администрации городского округа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Бахаев</w:t>
            </w:r>
            <w:proofErr w:type="spellEnd"/>
            <w:r w:rsidRPr="008335C5">
              <w:rPr>
                <w:sz w:val="28"/>
                <w:szCs w:val="28"/>
              </w:rPr>
              <w:t xml:space="preserve">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Виктор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Николаевич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>ачальник отдела капитального строительства управления по строительству, транспорту, ЖКХ и ТЭК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</w:t>
            </w:r>
          </w:p>
          <w:p w:rsidR="00B94557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  <w:p w:rsidR="00B94557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lastRenderedPageBreak/>
              <w:t>Безгодько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Виолетта Александровна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 xml:space="preserve">ачальника управления образования администрации </w:t>
            </w:r>
            <w:r>
              <w:rPr>
                <w:sz w:val="28"/>
                <w:szCs w:val="28"/>
              </w:rPr>
              <w:t xml:space="preserve">Грайворонского </w:t>
            </w:r>
            <w:r w:rsidRPr="008335C5">
              <w:rPr>
                <w:sz w:val="28"/>
                <w:szCs w:val="28"/>
              </w:rPr>
              <w:t>городского округа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Трунова</w:t>
            </w:r>
            <w:proofErr w:type="spellEnd"/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Дина Ивановна</w:t>
            </w:r>
          </w:p>
        </w:tc>
        <w:tc>
          <w:tcPr>
            <w:tcW w:w="567" w:type="dxa"/>
            <w:shd w:val="clear" w:color="auto" w:fill="auto"/>
          </w:tcPr>
          <w:p w:rsidR="00B94557" w:rsidRDefault="00B94557" w:rsidP="007E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 xml:space="preserve">ачальник управления культуры и молодежной политики администрации </w:t>
            </w:r>
            <w:r>
              <w:rPr>
                <w:sz w:val="28"/>
                <w:szCs w:val="28"/>
              </w:rPr>
              <w:t xml:space="preserve">Грайворонского </w:t>
            </w:r>
            <w:r w:rsidRPr="008335C5">
              <w:rPr>
                <w:sz w:val="28"/>
                <w:szCs w:val="28"/>
              </w:rPr>
              <w:t>городского округа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B94557" w:rsidRPr="008335C5" w:rsidTr="007E09D0">
        <w:tc>
          <w:tcPr>
            <w:tcW w:w="3369" w:type="dxa"/>
            <w:shd w:val="clear" w:color="auto" w:fill="auto"/>
          </w:tcPr>
          <w:p w:rsidR="00B94557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335C5">
              <w:rPr>
                <w:sz w:val="28"/>
                <w:szCs w:val="28"/>
              </w:rPr>
              <w:t>Сарыгин</w:t>
            </w:r>
            <w:proofErr w:type="spellEnd"/>
            <w:r w:rsidRPr="008335C5">
              <w:rPr>
                <w:sz w:val="28"/>
                <w:szCs w:val="28"/>
              </w:rPr>
              <w:t xml:space="preserve"> </w:t>
            </w:r>
          </w:p>
          <w:p w:rsidR="00B94557" w:rsidRPr="008335C5" w:rsidRDefault="00B94557" w:rsidP="007E09D0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35C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B94557" w:rsidRPr="008335C5" w:rsidRDefault="00B94557" w:rsidP="007E09D0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35C5">
              <w:rPr>
                <w:sz w:val="28"/>
                <w:szCs w:val="28"/>
              </w:rPr>
              <w:t xml:space="preserve">ачальник отдела физической культуры </w:t>
            </w:r>
            <w:r>
              <w:rPr>
                <w:sz w:val="28"/>
                <w:szCs w:val="28"/>
              </w:rPr>
              <w:br/>
            </w:r>
            <w:r w:rsidRPr="008335C5">
              <w:rPr>
                <w:sz w:val="28"/>
                <w:szCs w:val="28"/>
              </w:rPr>
              <w:t>и спорта</w:t>
            </w:r>
            <w:r>
              <w:rPr>
                <w:sz w:val="28"/>
                <w:szCs w:val="28"/>
              </w:rPr>
              <w:t xml:space="preserve"> администрации городского округа </w:t>
            </w:r>
          </w:p>
        </w:tc>
      </w:tr>
    </w:tbl>
    <w:p w:rsidR="00B94557" w:rsidRPr="00D97604" w:rsidRDefault="00B94557" w:rsidP="00B94557">
      <w:pPr>
        <w:jc w:val="both"/>
      </w:pPr>
    </w:p>
    <w:p w:rsidR="00B94557" w:rsidRPr="008335C5" w:rsidRDefault="00B94557" w:rsidP="00B94557">
      <w:pPr>
        <w:contextualSpacing/>
        <w:jc w:val="center"/>
        <w:rPr>
          <w:b/>
          <w:sz w:val="28"/>
          <w:szCs w:val="28"/>
        </w:rPr>
      </w:pPr>
    </w:p>
    <w:p w:rsidR="000574CC" w:rsidRPr="008E1A0B" w:rsidRDefault="002B4C08" w:rsidP="00B94557">
      <w:pPr>
        <w:pStyle w:val="2"/>
        <w:spacing w:before="0" w:after="0"/>
        <w:ind w:left="4678"/>
        <w:jc w:val="center"/>
        <w:rPr>
          <w:b w:val="0"/>
          <w:bCs w:val="0"/>
          <w:color w:val="000000"/>
          <w:sz w:val="24"/>
          <w:szCs w:val="24"/>
        </w:rPr>
      </w:pPr>
      <w:r w:rsidRPr="008E1A0B">
        <w:rPr>
          <w:b w:val="0"/>
          <w:bCs w:val="0"/>
          <w:color w:val="000000"/>
          <w:sz w:val="24"/>
          <w:szCs w:val="24"/>
        </w:rPr>
        <w:t xml:space="preserve"> </w:t>
      </w:r>
    </w:p>
    <w:p w:rsidR="00DF5B1A" w:rsidRDefault="00DF5B1A">
      <w:pPr>
        <w:rPr>
          <w:b/>
          <w:sz w:val="28"/>
          <w:szCs w:val="28"/>
        </w:rPr>
      </w:pPr>
    </w:p>
    <w:sectPr w:rsidR="00DF5B1A" w:rsidSect="00A85CCE">
      <w:headerReference w:type="even" r:id="rId9"/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C4" w:rsidRDefault="00335CC4">
      <w:r>
        <w:separator/>
      </w:r>
    </w:p>
  </w:endnote>
  <w:endnote w:type="continuationSeparator" w:id="0">
    <w:p w:rsidR="00335CC4" w:rsidRDefault="0033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C4" w:rsidRDefault="00335CC4">
      <w:r>
        <w:separator/>
      </w:r>
    </w:p>
  </w:footnote>
  <w:footnote w:type="continuationSeparator" w:id="0">
    <w:p w:rsidR="00335CC4" w:rsidRDefault="00335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261CED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261CED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94557">
      <w:rPr>
        <w:rStyle w:val="af6"/>
        <w:noProof/>
      </w:rPr>
      <w:t>2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574CC"/>
    <w:rsid w:val="000653E9"/>
    <w:rsid w:val="00066F85"/>
    <w:rsid w:val="00097231"/>
    <w:rsid w:val="00156008"/>
    <w:rsid w:val="00162BF2"/>
    <w:rsid w:val="00170004"/>
    <w:rsid w:val="001F3068"/>
    <w:rsid w:val="00261CED"/>
    <w:rsid w:val="002B4C08"/>
    <w:rsid w:val="002D375B"/>
    <w:rsid w:val="00335CC4"/>
    <w:rsid w:val="00344906"/>
    <w:rsid w:val="00386656"/>
    <w:rsid w:val="003A3936"/>
    <w:rsid w:val="00423A21"/>
    <w:rsid w:val="004B2690"/>
    <w:rsid w:val="004D1730"/>
    <w:rsid w:val="00507DC4"/>
    <w:rsid w:val="0057416B"/>
    <w:rsid w:val="006B0749"/>
    <w:rsid w:val="0075275D"/>
    <w:rsid w:val="00785115"/>
    <w:rsid w:val="00816747"/>
    <w:rsid w:val="00826756"/>
    <w:rsid w:val="00871E03"/>
    <w:rsid w:val="008E4E23"/>
    <w:rsid w:val="00901DE1"/>
    <w:rsid w:val="00983B97"/>
    <w:rsid w:val="00985B65"/>
    <w:rsid w:val="009E45D2"/>
    <w:rsid w:val="009E61BB"/>
    <w:rsid w:val="00A508C7"/>
    <w:rsid w:val="00A8549A"/>
    <w:rsid w:val="00A85CCE"/>
    <w:rsid w:val="00AD491C"/>
    <w:rsid w:val="00AF1BF1"/>
    <w:rsid w:val="00B353CB"/>
    <w:rsid w:val="00B94557"/>
    <w:rsid w:val="00BE2320"/>
    <w:rsid w:val="00C557B1"/>
    <w:rsid w:val="00CB4C1C"/>
    <w:rsid w:val="00CF0BB2"/>
    <w:rsid w:val="00D1477D"/>
    <w:rsid w:val="00D30822"/>
    <w:rsid w:val="00D67ABF"/>
    <w:rsid w:val="00DD758E"/>
    <w:rsid w:val="00DE08FA"/>
    <w:rsid w:val="00DF5B1A"/>
    <w:rsid w:val="00E024FF"/>
    <w:rsid w:val="00E11F81"/>
    <w:rsid w:val="00E2370D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aliases w:val="мой"/>
    <w:basedOn w:val="a"/>
    <w:link w:val="aff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0">
    <w:name w:val="footer"/>
    <w:basedOn w:val="a"/>
    <w:link w:val="aff1"/>
    <w:uiPriority w:val="99"/>
    <w:rsid w:val="00A85CCE"/>
    <w:pPr>
      <w:tabs>
        <w:tab w:val="center" w:pos="4677"/>
        <w:tab w:val="right" w:pos="9355"/>
      </w:tabs>
    </w:pPr>
  </w:style>
  <w:style w:type="character" w:styleId="aff2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3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3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4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5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1">
    <w:name w:val="Нижний колонтитул Знак"/>
    <w:basedOn w:val="a0"/>
    <w:link w:val="aff0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6">
    <w:name w:val="Plain Text"/>
    <w:basedOn w:val="a"/>
    <w:link w:val="aff7"/>
    <w:rsid w:val="00066F85"/>
    <w:rPr>
      <w:rFonts w:ascii="Courier New" w:hAnsi="Courier New"/>
      <w:b/>
      <w:color w:val="000000"/>
    </w:rPr>
  </w:style>
  <w:style w:type="character" w:customStyle="1" w:styleId="aff7">
    <w:name w:val="Текст Знак"/>
    <w:basedOn w:val="a0"/>
    <w:link w:val="aff6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066F85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066F8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d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Абзац списка Знак"/>
    <w:aliases w:val="мой Знак"/>
    <w:basedOn w:val="a0"/>
    <w:link w:val="afe"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e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94812-8932-41A3-9720-12AE087E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2811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2023-09-20T13:14:00Z</dcterms:created>
  <dcterms:modified xsi:type="dcterms:W3CDTF">2023-09-20T13:18:00Z</dcterms:modified>
</cp:coreProperties>
</file>