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2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234999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62"/>
        <w:jc w:val="both"/>
        <w:rPr>
          <w:sz w:val="22"/>
        </w:rPr>
      </w:pPr>
      <w:r>
        <w:rPr>
          <w:b/>
          <w:sz w:val="22"/>
          <w:szCs w:val="18"/>
        </w:rPr>
        <w:t xml:space="preserve">«_13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__декабря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__883__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701"/>
        </w:trPr>
        <w:tc>
          <w:tcPr>
            <w:tcW w:w="7229" w:type="dxa"/>
            <w:textDirection w:val="lrTb"/>
            <w:noWrap w:val="false"/>
          </w:tcPr>
          <w:p>
            <w:pPr>
              <w:pStyle w:val="6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использования водных объектов общего пользования, расположенных </w:t>
            </w:r>
            <w:r/>
          </w:p>
          <w:p>
            <w:pPr>
              <w:pStyle w:val="6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Грайворонского городского округа, </w:t>
            </w:r>
            <w:r/>
          </w:p>
          <w:p>
            <w:pPr>
              <w:pStyle w:val="6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личных и бытовых нужд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20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20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9"/>
        <w:jc w:val="both"/>
        <w:tabs>
          <w:tab w:val="left" w:pos="1134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Водным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30 марта 1999 года № 52-ФЗ «О санитарно-эпидемиологическом благополучии населения», постановлением Правительства Белгородской области от 30 ноября 2009 года № 370-пп «О Примерных правилах использования водных объектов общего пользования, расположенных </w:t>
      </w:r>
      <w:r>
        <w:rPr>
          <w:sz w:val="28"/>
          <w:szCs w:val="28"/>
        </w:rPr>
        <w:br/>
        <w:t xml:space="preserve">на территории Белгородской области, для личных и</w:t>
      </w:r>
      <w:r>
        <w:rPr>
          <w:sz w:val="28"/>
          <w:szCs w:val="28"/>
        </w:rPr>
        <w:t xml:space="preserve"> бытовых нужд», в целях приведения нормативн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 Грайворонского городского округа </w:t>
      </w:r>
      <w:r>
        <w:rPr>
          <w:sz w:val="28"/>
          <w:szCs w:val="28"/>
        </w:rPr>
        <w:br/>
        <w:t xml:space="preserve">в соответствие с действующим законодательством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Утвердить Правила использования водных объектов общего пользования, расположенных на территории Грайворонского городского округа, для личных и бытовых нужд (прилагается).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Признать утратившим силу постановление главы администрации муниципального района «Грайворонский район» Белгородской области                      от 10 марта 2010 года №123 «Об утверждении правил использования водных объектов».</w:t>
      </w:r>
      <w:r/>
    </w:p>
    <w:p>
      <w:pPr>
        <w:ind w:firstLine="708"/>
        <w:jc w:val="both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3.</w:t>
      </w:r>
      <w:r>
        <w:rPr>
          <w:bCs/>
          <w:color w:val="00000A"/>
          <w:sz w:val="28"/>
          <w:szCs w:val="28"/>
        </w:rPr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8"/>
          <w:szCs w:val="28"/>
        </w:rPr>
        <w:br/>
        <w:t xml:space="preserve">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заместителя главы администрации городского округа по перспективному развитию - начальника управления АПК А.В. </w:t>
      </w:r>
      <w:r>
        <w:rPr>
          <w:sz w:val="28"/>
          <w:szCs w:val="28"/>
        </w:rPr>
        <w:t xml:space="preserve">Ханюкова</w:t>
      </w:r>
      <w:r>
        <w:rPr>
          <w:sz w:val="28"/>
          <w:szCs w:val="28"/>
        </w:rPr>
        <w:t xml:space="preserve">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r/>
      <w:bookmarkStart w:id="0" w:name="_GoBack"/>
      <w:r/>
      <w:bookmarkEnd w:id="0"/>
      <w:r>
        <w:br w:type="page"/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91"/>
        <w:gridCol w:w="549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4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  <w:t xml:space="preserve">Ы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</w:t>
            </w:r>
            <w:r>
              <w:rPr>
                <w:b/>
                <w:sz w:val="28"/>
                <w:szCs w:val="28"/>
              </w:rPr>
              <w:t xml:space="preserve">ем</w:t>
            </w:r>
            <w:r>
              <w:rPr>
                <w:b/>
                <w:sz w:val="28"/>
                <w:szCs w:val="28"/>
              </w:rPr>
              <w:t xml:space="preserve"> администрации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городского округа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«_13_»_декабря_2022_</w:t>
            </w:r>
            <w:r>
              <w:rPr>
                <w:b/>
                <w:sz w:val="28"/>
                <w:szCs w:val="28"/>
              </w:rPr>
              <w:t xml:space="preserve"> года №_883_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использования водных объектов общего пользования,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расположенных на территории Грайворонского городского округа,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для личных и бытовых нужд</w:t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</w:t>
      </w:r>
      <w:r/>
    </w:p>
    <w:p>
      <w:pPr>
        <w:pStyle w:val="672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Правила использования водных объектов общего пользования, расположенных на территории Грайворонского городского округа, для личных и бытовых нужд (далее - Правила), разработаны в соответствии с Водным </w:t>
      </w:r>
      <w:r>
        <w:rPr>
          <w:sz w:val="28"/>
          <w:szCs w:val="28"/>
        </w:rPr>
        <w:t xml:space="preserve">кодексом </w:t>
      </w:r>
      <w:r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едеральными законами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2003 года №</w:t>
      </w:r>
      <w:r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30 марта 1999 года № </w:t>
      </w:r>
      <w:r>
        <w:rPr>
          <w:sz w:val="28"/>
          <w:szCs w:val="28"/>
        </w:rPr>
        <w:t xml:space="preserve">52-ФЗ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санитарно-эпидемиологическом благополучии населения», </w:t>
      </w:r>
      <w:r>
        <w:rPr>
          <w:sz w:val="28"/>
          <w:szCs w:val="28"/>
        </w:rPr>
        <w:t xml:space="preserve">постановлением  </w:t>
      </w:r>
      <w:r>
        <w:rPr>
          <w:sz w:val="28"/>
          <w:szCs w:val="28"/>
        </w:rPr>
        <w:t xml:space="preserve">Правительства Белгородской области от 30</w:t>
      </w:r>
      <w:r>
        <w:rPr>
          <w:sz w:val="28"/>
          <w:szCs w:val="28"/>
        </w:rPr>
        <w:t xml:space="preserve"> ноября 2009 года №370-пп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Примерных правилах использования водных объектов общего пользования, расположенных на территории Белгородской области, для личных и бытовых нужд».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равила устанавливают порядок использования водных объектов общего пользования для личных и бытовых нужд, а также требования к выбору мест дл</w:t>
      </w:r>
      <w:r>
        <w:rPr>
          <w:sz w:val="28"/>
          <w:szCs w:val="28"/>
        </w:rPr>
        <w:t xml:space="preserve">я купания, любительского рыболовства, полива земельных участков, предоставленных (приобретенных) для ведения личного подсобного хозяйства, садоводства или огородничества, водопоя сельскохозяйственных животных и обязательны для физических и юридических лиц.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Применительно к настоящим Правилам используются следующие основные понятия: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водный объект - природный или искусственный водоем, водоток либо иной объект, постоянное или временное сосредоточение вод, который имеет характерные формы и признаки водного режима;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поверхностные водные объекты - расположенные на территории Грайворонского  городского округа водотоки (реки, ручьи, каналы), водоемы (озера, пруды, обводненные карьеры, водохранилища), болота, природные выходы подземных вод (родники);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водные объекты общего пользования - поверхностные общедоступные водные объекты, находящиеся в государственной или муниципальной собственности;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водопользователь - физическое или юридическое лицо, которым представлено право пользования водным объектом;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использование водных объектов общего пользования для личных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бытовых нужд (водопользование) - использование различными способами водных объектов общего пользования для удовлетворения личных и бытовых потребностей граждан;</w:t>
      </w:r>
      <w:r/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личные и бытовые нужды - личные, семейные, домашние нужды,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связанные с осуществлением предпринимательской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числе: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плавание и причаливание плавучих средств, в том числе маломерных судов, находящихся в собственности физических лиц;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любительское рыболовство - деятельность по добыче (вылову) водных биологических ресурсов,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водопользование в целях ведения подсобного хозяйства - полив земельных участк</w:t>
      </w:r>
      <w:r>
        <w:rPr>
          <w:sz w:val="28"/>
          <w:szCs w:val="28"/>
        </w:rPr>
        <w:t xml:space="preserve">ов, приобретенных (предоставленных) для ведения личного подсобного хозяйства, садоводства или огородничества, а также водопой сельскохозяйственных животных, ведение работ по уходу за домашними животными и птицей, находящихся в собственности физических лиц.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Береговая полоса водных объектов общего пользования.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Полоса земли вдоль берегово</w:t>
      </w:r>
      <w:r>
        <w:rPr>
          <w:sz w:val="28"/>
          <w:szCs w:val="28"/>
        </w:rPr>
        <w:t xml:space="preserve">й линии (границы водного объекта)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режим использования водных объектов общего пользования распространяет свое действие и на береговую полосу указанных объектов.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Береговая полоса болот, природных выходов подземных вод (родников) водных объектов не определяется.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Каждый гражданин </w:t>
      </w:r>
      <w:r>
        <w:rPr>
          <w:sz w:val="28"/>
          <w:szCs w:val="28"/>
        </w:rPr>
        <w:t xml:space="preserve">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Водоохранными зонами являются территории, которые примыкают к береговой линии (границам водного объекта) рек, ручьев, каналов, озер, прудов, водохранилищ и на которых устанавливается специальный режим </w:t>
      </w:r>
      <w:r>
        <w:rPr>
          <w:sz w:val="28"/>
          <w:szCs w:val="28"/>
        </w:rPr>
        <w:t xml:space="preserve">осуществления хозяйственной и иной деятельности в целях предотвращения загрязнения, засорения, заиления указанных водных объектов и истощения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вод, а также сохранения среды обитания водных биологических ресурсов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других объектов животного и растительного мира.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Порядок использования водных объектов общего</w:t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пользования для личных и бытовых нужд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Все поверхностные водные объекты на территории Грайворонского городского округа, находящиеся в государственной или муниципальной собственности, являются водными объектами общего пользования,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то есть общедоступными водными объектами.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 водным объектам общего пользования, расположенным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Грайворонского городского округа, относятся: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водотоки (реки, ручьи, каналы);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водоемы (озера, пруды, обводненные карьеры, водохранилища);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болота;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природные выходы подземных вод (родники).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Каждый гражданин вправе иметь доступ к водным объектам общего пользования и бесплатно использовать их для личных и бытовых нужд,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иное не предусмотрено Водным</w:t>
      </w:r>
      <w:r>
        <w:rPr>
          <w:sz w:val="28"/>
          <w:szCs w:val="28"/>
        </w:rPr>
        <w:t xml:space="preserve"> кодексом</w:t>
      </w:r>
      <w:r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другими федеральными законами.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Граждане вправе использовать водные объекты общего пользования для полива земельных участков, приобретенных (предоставленных)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ведения личного подсобного хозяйства, садоводства или огородничества,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водопоя сельскохозяйственных животных, ведения работ по уходу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домашними животными и птицей при условии соблюдения требований охраны водных объектов в соответствии с Водным</w:t>
      </w:r>
      <w:r>
        <w:rPr>
          <w:sz w:val="28"/>
          <w:szCs w:val="28"/>
        </w:rPr>
        <w:t xml:space="preserve"> кодексом</w:t>
      </w:r>
      <w:r>
        <w:rPr>
          <w:sz w:val="28"/>
          <w:szCs w:val="28"/>
        </w:rPr>
        <w:t xml:space="preserve"> Российской Федерации и законодательством об охране окружающей среды.</w:t>
      </w:r>
      <w:r/>
    </w:p>
    <w:p>
      <w:pPr>
        <w:ind w:firstLine="709"/>
        <w:jc w:val="both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Для использования водных объектов общего пользования в целях удовлетворения личных и бытовых нужд граждан не требуется заключения договора водопользования или принятия решения о предоставлении водного объекта в пользование.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Использование водных объектов для рекреационных целей (отдыха, туризма, спорта) осуществляется с учетом настоящих Правил и в соответствии с договором водопользования.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Прилегающая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 водным объектам общего пользования территория, используемая для купания, занятий спортом, отдыха, должна быть обустроена пользователем этого объекта с соблюдением требований водного законодательства и</w:t>
      </w:r>
      <w:r>
        <w:rPr>
          <w:sz w:val="28"/>
          <w:szCs w:val="28"/>
        </w:rPr>
        <w:t xml:space="preserve"> Правил </w:t>
      </w:r>
      <w:r>
        <w:rPr>
          <w:sz w:val="28"/>
          <w:szCs w:val="28"/>
        </w:rPr>
        <w:t xml:space="preserve">охраны жизни людей на водных объектах в части равного и бесплатного доступа граждан к водным объектам общего пользования.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Участки водных объектов общего пользования, используемые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купания, занятий спортом, отдыха, устанавливаются администрацией Грайворонского городского округа в порядке, установленном действующим законодательством Российской Федерации.</w:t>
      </w:r>
      <w:r/>
    </w:p>
    <w:p>
      <w:pPr>
        <w:ind w:firstLine="709"/>
        <w:jc w:val="both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Купа</w:t>
      </w:r>
      <w:r>
        <w:rPr>
          <w:sz w:val="28"/>
          <w:szCs w:val="28"/>
        </w:rPr>
        <w:t xml:space="preserve">ние на водных объектах общего пользования разрешается только в специально установленных местах, в соответствии с гигиеническими требованиями к зонам рекреации и к охране источников хозяйственно-питьевого водоснабжения от загрязнений, а также оборудованных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Правилами</w:t>
      </w:r>
      <w:r>
        <w:rPr>
          <w:sz w:val="28"/>
          <w:szCs w:val="28"/>
        </w:rPr>
        <w:t xml:space="preserve"> охраны жизни людей на водных объектах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Правилами</w:t>
      </w:r>
      <w:r>
        <w:rPr>
          <w:sz w:val="28"/>
          <w:szCs w:val="28"/>
        </w:rPr>
        <w:t xml:space="preserve"> использования водных объектов для плавания на маломерных судах, утвержденных постановлением Правительства Белгородской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4 апреля 2022</w:t>
      </w:r>
      <w:r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 xml:space="preserve">ода</w:t>
      </w:r>
      <w:r>
        <w:rPr>
          <w:rFonts w:eastAsia="Calibri"/>
          <w:sz w:val="28"/>
          <w:szCs w:val="28"/>
        </w:rPr>
        <w:t xml:space="preserve"> № 183-пп «Об утверждении Правил охраны жизни людей на водных объектах в Белгородской области и правил пользования водными объектами для плавания на маломерных судах в Белгородской области». Купание в неустановленных местах запрещается.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Купание и водопой домашних животных осуществляются в местах, удаленных от зон массового отдыха на расстояние не менее 200 (двухсот) метров ниже по течению, и вне зон санитарной охраны водозаборных сооружений.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использовании водных объектов общего пользования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личных и бытовых нужд граждане обязаны: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соблюдать установленный режим использования водного объекта;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 допускать ухудшения качества воды, среды обитания объектов животного и растительного мира, а также нанесения ущерба хозяйственным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 объектам;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  <w:t xml:space="preserve">не допускать уничтожения или повреждения объектов животного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растительного мира, почвенного покрова, принимать меры по недопущению аварийных ситуаций, влияющих на состояние водных объектов, объектов животного и растительного мира;</w:t>
      </w:r>
      <w:r/>
    </w:p>
    <w:p>
      <w:pPr>
        <w:ind w:firstLine="709"/>
        <w:jc w:val="both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соблюдать</w:t>
      </w:r>
      <w:r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 xml:space="preserve"> противопожарного режима в Российской Федерации, утвержденные </w:t>
      </w:r>
      <w:r>
        <w:rPr>
          <w:rFonts w:eastAsia="Calibri"/>
          <w:sz w:val="28"/>
          <w:szCs w:val="28"/>
        </w:rPr>
        <w:t xml:space="preserve">постановлением Правительства Российской Федерации от 16 сентября 2020 г</w:t>
      </w:r>
      <w:r>
        <w:rPr>
          <w:rFonts w:eastAsia="Calibri"/>
          <w:sz w:val="28"/>
          <w:szCs w:val="28"/>
        </w:rPr>
        <w:t xml:space="preserve">ода</w:t>
      </w:r>
      <w:r>
        <w:rPr>
          <w:rFonts w:eastAsia="Calibri"/>
          <w:sz w:val="28"/>
          <w:szCs w:val="28"/>
        </w:rPr>
        <w:t xml:space="preserve"> № 1479</w:t>
      </w:r>
      <w:r>
        <w:rPr>
          <w:rFonts w:eastAsia="Calibri"/>
          <w:sz w:val="28"/>
          <w:szCs w:val="28"/>
        </w:rPr>
        <w:t xml:space="preserve">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соблюдать требования </w:t>
      </w:r>
      <w:r>
        <w:rPr>
          <w:sz w:val="28"/>
          <w:szCs w:val="28"/>
        </w:rPr>
        <w:t xml:space="preserve">Правил </w:t>
      </w:r>
      <w:r>
        <w:rPr>
          <w:sz w:val="28"/>
          <w:szCs w:val="28"/>
        </w:rPr>
        <w:t xml:space="preserve">охраны жизни людей на водных объектах, утвержденных постановлением Правительства Белгородской области от 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4 апреля 2022 г</w:t>
      </w:r>
      <w:r>
        <w:rPr>
          <w:rFonts w:eastAsia="Calibri"/>
          <w:sz w:val="28"/>
          <w:szCs w:val="28"/>
        </w:rPr>
        <w:t xml:space="preserve">ода</w:t>
      </w:r>
      <w:r>
        <w:rPr>
          <w:rFonts w:eastAsia="Calibri"/>
          <w:sz w:val="28"/>
          <w:szCs w:val="28"/>
        </w:rPr>
        <w:t xml:space="preserve"> № 183-пп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выполнять предписания должностных лиц федеральных органов исполнительной власти, должностных лиц органов исполнительной власти Белгородской области, органов местного самоуправления, действующих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предоставленных им полномочий.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использовании водных объектов общего пользования запрещается: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использование водных объектов, на которых водопользование ограничено, приостановлено или запрещено, для целей, на которые введены запреты;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осуществлять самостоятельный забор воды из водных объектов общего пользования для питьевого водоснабжения;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организовывать свалки и складирование бытовых, строительных отходов на береговой полосе водоемов;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применять минеральные, органические удобрения и ядохимикаты на береговой полосе водных объектов;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применять запрещенные орудия и способы добычи (вылова) объектов животного мира и водных биологических ресурсов;</w:t>
      </w:r>
      <w:r/>
    </w:p>
    <w:p>
      <w:pPr>
        <w:ind w:firstLine="709"/>
        <w:jc w:val="both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проводить на береговой полосе водных объектов общего пользования строительные работы, работы по добыче полезных ископаемых, землеройные и другие работы;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применять источники загрязнения, засорения и истощения водных объектов на всей акв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тории и береговой полосе, в том числе на расположенных в пределах территории, прилегающей к водным объектам общего пользования, приусадебных, дачных, садово-огородных участках;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осуществлять заправку топливом, мойку и ремонт автомобилей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других машин и механизмов в пределах береговой полосы водных объектов общего пользования;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купаться, если качество воды в водоеме не соответствует установленным нормативам;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осуществлять сброс загрязненных сточных вод в водоемы, осуществлять захоронение в них бытовых и других отходов;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размещать на водных объектах и на территории их </w:t>
      </w:r>
      <w:r>
        <w:rPr>
          <w:sz w:val="28"/>
          <w:szCs w:val="28"/>
        </w:rPr>
        <w:t xml:space="preserve">водоохранных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рыбоохранных зон, прибрежных защитных полос средства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оборудование, влекущие за собой загрязнение и засорение водных объектов,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возникновение чрезвычайных ситуаций;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оставлять на водных объектах несовершеннолетних детей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без присмотра взрослых;</w:t>
      </w:r>
      <w:r/>
    </w:p>
    <w:p>
      <w:pPr>
        <w:ind w:firstLine="709"/>
        <w:jc w:val="both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осуществлять передвижение (в том числе с помощью техники)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льду водоемов с нарушением правил техники безопасности;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производить выпас скота и птицы, осуществлять сенокос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без соответствующих разрешений на береговой полосе водных объектов;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осуществлять спуск воды водных объектов общего пользования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уничтожение источников его водоснабжения;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допускать действия, нарушающие права и законные интересы граждан или наносящие вред состоянию водных объектов, объектам животного и растительного мира;</w:t>
      </w:r>
      <w:r/>
    </w:p>
    <w:p>
      <w:pPr>
        <w:ind w:firstLine="709"/>
        <w:jc w:val="both"/>
        <w:tabs>
          <w:tab w:val="left" w:pos="1418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снимать и самовольно устанавливать оборудование и средства обозначения участков водных объектов, установленные на законных основаниях.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Водопользователи обязаны соблюдать требования законодательства о санитарно-эпидемиологическом благополучии и обеспечивать чистоту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береговой полосе водных объектов общего пользования.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Требования к выбору мест для любительского рыболовства</w:t>
      </w:r>
      <w:r/>
    </w:p>
    <w:p>
      <w:pPr>
        <w:pStyle w:val="672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</w:t>
      </w:r>
      <w:r>
        <w:rPr>
          <w:color w:val="000000" w:themeColor="text1"/>
          <w:sz w:val="28"/>
          <w:szCs w:val="28"/>
        </w:rPr>
        <w:tab/>
        <w:t xml:space="preserve">Граждане вправе осуществлять любительское рыболовство </w:t>
      </w:r>
      <w:r>
        <w:rPr>
          <w:color w:val="000000" w:themeColor="text1"/>
          <w:sz w:val="28"/>
          <w:szCs w:val="28"/>
        </w:rPr>
        <w:br/>
        <w:t xml:space="preserve">на водных объектах общего пользования свободно и бесплатно, </w:t>
      </w:r>
      <w:r>
        <w:rPr>
          <w:color w:val="000000" w:themeColor="text1"/>
          <w:sz w:val="28"/>
          <w:szCs w:val="28"/>
        </w:rPr>
        <w:br/>
        <w:t xml:space="preserve">за исключением случаев, предусмотренных Федеральным законом </w:t>
      </w:r>
      <w:r>
        <w:rPr>
          <w:color w:val="000000" w:themeColor="text1"/>
          <w:sz w:val="28"/>
          <w:szCs w:val="28"/>
        </w:rPr>
        <w:br/>
        <w:t xml:space="preserve">от 25 декабря 2018 года № 475-ФЗ «О любительском рыболовстве и внесении изменений в отдельные законодательные акты Российской Федерации» </w:t>
      </w:r>
      <w:r>
        <w:rPr>
          <w:color w:val="000000" w:themeColor="text1"/>
          <w:sz w:val="28"/>
          <w:szCs w:val="28"/>
        </w:rPr>
        <w:br/>
        <w:t xml:space="preserve">и другими федеральными законами.</w:t>
      </w:r>
      <w:r/>
    </w:p>
    <w:p>
      <w:pPr>
        <w:ind w:firstLine="709"/>
        <w:jc w:val="both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</w:t>
      </w:r>
      <w:r>
        <w:rPr>
          <w:color w:val="000000" w:themeColor="text1"/>
          <w:sz w:val="28"/>
          <w:szCs w:val="28"/>
        </w:rPr>
        <w:tab/>
        <w:t xml:space="preserve">На водных объектах, которые находятся в собственности граждан или юридических лиц, любительское рыболовство осуществляется </w:t>
      </w:r>
      <w:r>
        <w:rPr>
          <w:color w:val="000000" w:themeColor="text1"/>
          <w:sz w:val="28"/>
          <w:szCs w:val="28"/>
        </w:rPr>
        <w:br/>
        <w:t xml:space="preserve">в соответствии с гражданским и земельным законодательством.</w:t>
      </w:r>
      <w:r/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</w:t>
      </w:r>
      <w:r>
        <w:rPr>
          <w:color w:val="000000" w:themeColor="text1"/>
          <w:sz w:val="28"/>
          <w:szCs w:val="28"/>
        </w:rPr>
        <w:tab/>
        <w:t xml:space="preserve">Осуществление любительского рыболовства запрещено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с федеральными законами.</w:t>
      </w:r>
      <w:r/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Любительское рыболовство запрещается осуществлять </w:t>
      </w:r>
      <w:r>
        <w:rPr>
          <w:b/>
          <w:color w:val="000000" w:themeColor="text1"/>
          <w:sz w:val="28"/>
          <w:szCs w:val="28"/>
        </w:rPr>
        <w:t xml:space="preserve">на</w:t>
      </w:r>
      <w:r>
        <w:rPr>
          <w:b/>
          <w:color w:val="000000" w:themeColor="text1"/>
          <w:sz w:val="28"/>
          <w:szCs w:val="28"/>
        </w:rPr>
        <w:t xml:space="preserve">:</w:t>
      </w:r>
      <w:r/>
    </w:p>
    <w:p>
      <w:pPr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ind w:firstLine="708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</w:t>
      </w: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Используемых для прудовой </w:t>
      </w:r>
      <w:r>
        <w:rPr>
          <w:color w:val="000000" w:themeColor="text1"/>
          <w:sz w:val="28"/>
          <w:szCs w:val="28"/>
        </w:rPr>
        <w:t xml:space="preserve">аквакультуры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не находящихся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собственности граждан или юридических лиц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обводненных карьерах, прудах (в том числе образованных водоподпорными сооружениями на водотоках)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на используемых в процессе функционирования мелиоративных систем (включая ирригационные системы) водных объектах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ind w:firstLine="708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</w:t>
      </w: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Иных водных объектах, предоставленных для осуществления товарной </w:t>
      </w:r>
      <w:r>
        <w:rPr>
          <w:color w:val="000000" w:themeColor="text1"/>
          <w:sz w:val="28"/>
          <w:szCs w:val="28"/>
        </w:rPr>
        <w:t xml:space="preserve">аквакультуры</w:t>
      </w:r>
      <w:r>
        <w:rPr>
          <w:color w:val="000000" w:themeColor="text1"/>
          <w:sz w:val="28"/>
          <w:szCs w:val="28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не являющихся объектами </w:t>
      </w:r>
      <w:r>
        <w:rPr>
          <w:color w:val="000000" w:themeColor="text1"/>
          <w:sz w:val="28"/>
          <w:szCs w:val="28"/>
        </w:rPr>
        <w:t xml:space="preserve">аквакультуры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ind w:firstLine="708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center"/>
        <w:rPr>
          <w:rFonts w:eastAsia="Calibri"/>
          <w:b/>
          <w:sz w:val="28"/>
          <w:szCs w:val="28"/>
          <w:lang w:eastAsia="en-US"/>
        </w:rPr>
        <w:outlineLvl w:val="0"/>
      </w:pPr>
      <w:r>
        <w:rPr>
          <w:rFonts w:eastAsia="Calibri"/>
          <w:b/>
          <w:sz w:val="28"/>
          <w:szCs w:val="28"/>
          <w:lang w:eastAsia="en-US"/>
        </w:rPr>
        <w:t xml:space="preserve">5</w:t>
      </w:r>
      <w:r>
        <w:rPr>
          <w:rFonts w:eastAsia="Calibri"/>
          <w:b/>
          <w:sz w:val="28"/>
          <w:szCs w:val="28"/>
          <w:lang w:eastAsia="en-US"/>
        </w:rPr>
        <w:t xml:space="preserve">. Обеспечение мер надлежащего использования</w:t>
      </w:r>
      <w:r/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водных объектов общего пользования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случаях угрозы причинения вреда жизни или здоровью человека, возникновения радиа</w:t>
      </w:r>
      <w:r>
        <w:rPr>
          <w:rFonts w:eastAsia="Calibri"/>
          <w:sz w:val="28"/>
          <w:szCs w:val="28"/>
        </w:rPr>
        <w:t xml:space="preserve">ционной аварии или чрезвычайных ситуаций природного или техногенного характера, причинения вреда окружающей среде, объектам животного и растительного мира пользование водными объектами общего пользования может быть приостановлено, ограничено или запрещено </w:t>
      </w:r>
      <w:r>
        <w:rPr>
          <w:rFonts w:eastAsia="Calibri"/>
          <w:sz w:val="28"/>
          <w:szCs w:val="28"/>
        </w:rPr>
        <w:t xml:space="preserve">для</w:t>
      </w:r>
      <w:r>
        <w:rPr>
          <w:rFonts w:eastAsia="Calibri"/>
          <w:sz w:val="28"/>
          <w:szCs w:val="28"/>
        </w:rPr>
        <w:t xml:space="preserve">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забора (изъятия) водных ресурсов для питьевого и хозяйственно-бытового водоснабжения;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добычи (вылова) водных биологических ресурсов;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охоты на диких животных;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купания;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водопоя (выпаса) скота и птицы;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проведения работ по уходу за сельскохозяйственными животными;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использования маломерных судов, водных мотоциклов и других технических средств, предназначенных для отдыха на водных объектах.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населения об ограничениях использования</w:t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водных объектов общего пользования для личных и бытовых нужд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ограничении водопользования на водных объектах общего пользования предоставляется администрацией Грайворонского городского округа гражданам через средства массовой информации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Правил использования</w:t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водных объектов для личных и бытовых нужд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Лица, виновные в нарушении настоящих Правил, несут ответственность в соответствии с законодательством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законодательством Белгородской области.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Привлечение к ответственности за нарушение настоящих Правил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освобождает виновных лиц от обязанности устранить допущенное нарушение и возместить причиненный ими вред.</w:t>
      </w:r>
      <w:r/>
    </w:p>
    <w:p>
      <w:pPr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0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425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479052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2"/>
    <w:next w:val="66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2"/>
    <w:next w:val="66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2"/>
    <w:next w:val="66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2"/>
    <w:next w:val="66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3"/>
    <w:link w:val="32"/>
    <w:uiPriority w:val="10"/>
    <w:rPr>
      <w:sz w:val="48"/>
      <w:szCs w:val="48"/>
    </w:rPr>
  </w:style>
  <w:style w:type="paragraph" w:styleId="34">
    <w:name w:val="Subtitle"/>
    <w:basedOn w:val="662"/>
    <w:next w:val="66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3"/>
    <w:link w:val="34"/>
    <w:uiPriority w:val="11"/>
    <w:rPr>
      <w:sz w:val="24"/>
      <w:szCs w:val="24"/>
    </w:rPr>
  </w:style>
  <w:style w:type="paragraph" w:styleId="36">
    <w:name w:val="Quote"/>
    <w:basedOn w:val="662"/>
    <w:next w:val="66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2"/>
    <w:next w:val="66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3"/>
    <w:link w:val="684"/>
    <w:uiPriority w:val="99"/>
  </w:style>
  <w:style w:type="character" w:styleId="43">
    <w:name w:val="Footer Char"/>
    <w:basedOn w:val="663"/>
    <w:link w:val="686"/>
    <w:uiPriority w:val="99"/>
  </w:style>
  <w:style w:type="paragraph" w:styleId="44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6"/>
    <w:uiPriority w:val="99"/>
  </w:style>
  <w:style w:type="table" w:styleId="47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3"/>
    <w:uiPriority w:val="99"/>
    <w:unhideWhenUsed/>
    <w:rPr>
      <w:vertAlign w:val="superscript"/>
    </w:rPr>
  </w:style>
  <w:style w:type="paragraph" w:styleId="176">
    <w:name w:val="endnote text"/>
    <w:basedOn w:val="66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3"/>
    <w:uiPriority w:val="99"/>
    <w:semiHidden/>
    <w:unhideWhenUsed/>
    <w:rPr>
      <w:vertAlign w:val="superscript"/>
    </w:rPr>
  </w:style>
  <w:style w:type="paragraph" w:styleId="179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Body Text"/>
    <w:basedOn w:val="662"/>
    <w:link w:val="667"/>
    <w:pPr>
      <w:spacing w:after="120"/>
    </w:pPr>
    <w:rPr>
      <w:sz w:val="20"/>
      <w:szCs w:val="20"/>
    </w:rPr>
  </w:style>
  <w:style w:type="character" w:styleId="667" w:customStyle="1">
    <w:name w:val="Основной текст Знак"/>
    <w:basedOn w:val="663"/>
    <w:link w:val="666"/>
    <w:rPr>
      <w:rFonts w:ascii="Times New Roman" w:hAnsi="Times New Roman" w:cs="Times New Roman"/>
    </w:rPr>
  </w:style>
  <w:style w:type="paragraph" w:styleId="668">
    <w:name w:val="Body Text Indent 2"/>
    <w:basedOn w:val="662"/>
    <w:link w:val="669"/>
    <w:pPr>
      <w:ind w:left="283"/>
      <w:spacing w:after="120" w:line="480" w:lineRule="auto"/>
    </w:pPr>
    <w:rPr>
      <w:sz w:val="20"/>
      <w:szCs w:val="20"/>
    </w:rPr>
  </w:style>
  <w:style w:type="character" w:styleId="669" w:customStyle="1">
    <w:name w:val="Основной текст с отступом 2 Знак"/>
    <w:basedOn w:val="663"/>
    <w:link w:val="668"/>
    <w:rPr>
      <w:rFonts w:ascii="Times New Roman" w:hAnsi="Times New Roman" w:cs="Times New Roman"/>
    </w:rPr>
  </w:style>
  <w:style w:type="paragraph" w:styleId="670">
    <w:name w:val="Balloon Text"/>
    <w:basedOn w:val="662"/>
    <w:link w:val="671"/>
    <w:uiPriority w:val="99"/>
    <w:semiHidden/>
    <w:unhideWhenUsed/>
    <w:rPr>
      <w:rFonts w:ascii="Tahoma" w:hAnsi="Tahoma" w:cs="Tahoma"/>
      <w:sz w:val="16"/>
      <w:szCs w:val="16"/>
    </w:rPr>
  </w:style>
  <w:style w:type="character" w:styleId="671" w:customStyle="1">
    <w:name w:val="Текст выноски Знак"/>
    <w:basedOn w:val="663"/>
    <w:link w:val="670"/>
    <w:uiPriority w:val="99"/>
    <w:semiHidden/>
    <w:rPr>
      <w:rFonts w:ascii="Tahoma" w:hAnsi="Tahoma" w:cs="Tahoma"/>
      <w:sz w:val="16"/>
      <w:szCs w:val="16"/>
    </w:rPr>
  </w:style>
  <w:style w:type="paragraph" w:styleId="672" w:customStyle="1">
    <w:name w:val="ConsPlusNormal"/>
    <w:link w:val="691"/>
    <w:pPr>
      <w:jc w:val="both"/>
      <w:widowControl w:val="off"/>
    </w:pPr>
    <w:rPr>
      <w:rFonts w:ascii="Arial" w:hAnsi="Arial" w:cs="Arial"/>
    </w:rPr>
  </w:style>
  <w:style w:type="paragraph" w:styleId="673">
    <w:name w:val="List Paragraph"/>
    <w:basedOn w:val="662"/>
    <w:uiPriority w:val="34"/>
    <w:qFormat/>
    <w:pPr>
      <w:contextualSpacing/>
      <w:ind w:left="720"/>
    </w:pPr>
  </w:style>
  <w:style w:type="paragraph" w:styleId="674">
    <w:name w:val="Normal (Web)"/>
    <w:basedOn w:val="662"/>
    <w:uiPriority w:val="99"/>
    <w:unhideWhenUsed/>
    <w:pPr>
      <w:spacing w:before="100" w:beforeAutospacing="1" w:after="100" w:afterAutospacing="1"/>
    </w:pPr>
  </w:style>
  <w:style w:type="paragraph" w:styleId="675" w:customStyle="1">
    <w:name w:val="paragraph"/>
    <w:basedOn w:val="662"/>
    <w:pPr>
      <w:spacing w:before="100" w:beforeAutospacing="1" w:after="100" w:afterAutospacing="1"/>
    </w:pPr>
  </w:style>
  <w:style w:type="character" w:styleId="676" w:customStyle="1">
    <w:name w:val="normaltextrun"/>
    <w:basedOn w:val="663"/>
  </w:style>
  <w:style w:type="character" w:styleId="677" w:customStyle="1">
    <w:name w:val="scxw111914594"/>
    <w:basedOn w:val="663"/>
  </w:style>
  <w:style w:type="character" w:styleId="678" w:customStyle="1">
    <w:name w:val="eop"/>
    <w:basedOn w:val="663"/>
  </w:style>
  <w:style w:type="character" w:styleId="679" w:customStyle="1">
    <w:name w:val="tabchar"/>
    <w:basedOn w:val="663"/>
  </w:style>
  <w:style w:type="character" w:styleId="680" w:customStyle="1">
    <w:name w:val="spellingerror"/>
    <w:basedOn w:val="663"/>
  </w:style>
  <w:style w:type="character" w:styleId="681" w:customStyle="1">
    <w:name w:val="Основной текст (2)_"/>
    <w:basedOn w:val="663"/>
    <w:link w:val="682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82" w:customStyle="1">
    <w:name w:val="Основной текст (2)"/>
    <w:basedOn w:val="662"/>
    <w:link w:val="681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683">
    <w:name w:val="Table Grid"/>
    <w:basedOn w:val="664"/>
    <w:rPr>
      <w:rFonts w:ascii="Times New Roman" w:hAnsi="Times New Roman" w:cs="Times New Roman" w:eastAsia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62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63"/>
    <w:link w:val="684"/>
    <w:uiPriority w:val="99"/>
    <w:rPr>
      <w:rFonts w:ascii="Times New Roman" w:hAnsi="Times New Roman" w:cs="Times New Roman"/>
      <w:sz w:val="24"/>
      <w:szCs w:val="24"/>
    </w:rPr>
  </w:style>
  <w:style w:type="paragraph" w:styleId="686">
    <w:name w:val="Footer"/>
    <w:basedOn w:val="662"/>
    <w:link w:val="68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63"/>
    <w:link w:val="686"/>
    <w:uiPriority w:val="99"/>
    <w:semiHidden/>
    <w:rPr>
      <w:rFonts w:ascii="Times New Roman" w:hAnsi="Times New Roman" w:cs="Times New Roman"/>
      <w:sz w:val="24"/>
      <w:szCs w:val="24"/>
    </w:rPr>
  </w:style>
  <w:style w:type="paragraph" w:styleId="688">
    <w:name w:val="Body Text Indent"/>
    <w:basedOn w:val="662"/>
    <w:link w:val="689"/>
    <w:pPr>
      <w:ind w:left="283"/>
      <w:spacing w:after="120"/>
    </w:pPr>
    <w:rPr>
      <w:sz w:val="20"/>
      <w:szCs w:val="20"/>
    </w:rPr>
  </w:style>
  <w:style w:type="character" w:styleId="689" w:customStyle="1">
    <w:name w:val="Основной текст с отступом Знак"/>
    <w:basedOn w:val="663"/>
    <w:link w:val="688"/>
    <w:rPr>
      <w:rFonts w:ascii="Times New Roman" w:hAnsi="Times New Roman" w:cs="Times New Roman"/>
    </w:rPr>
  </w:style>
  <w:style w:type="paragraph" w:styleId="690" w:customStyle="1">
    <w:name w:val="ConsPlusTitle"/>
    <w:pPr>
      <w:widowControl w:val="off"/>
    </w:pPr>
    <w:rPr>
      <w:b/>
      <w:sz w:val="22"/>
    </w:rPr>
  </w:style>
  <w:style w:type="character" w:styleId="691" w:customStyle="1">
    <w:name w:val="ConsPlusNormal Знак"/>
    <w:link w:val="672"/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E68A557-FB24-4565-AB67-B591B7E7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5</cp:revision>
  <dcterms:created xsi:type="dcterms:W3CDTF">2022-11-25T06:06:00Z</dcterms:created>
  <dcterms:modified xsi:type="dcterms:W3CDTF">2022-12-14T07:00:47Z</dcterms:modified>
</cp:coreProperties>
</file>