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2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4926400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62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62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2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62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2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2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2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2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62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62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62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62"/>
        <w:jc w:val="both"/>
        <w:rPr>
          <w:b/>
          <w:sz w:val="22"/>
          <w:highlight w:val="none"/>
        </w:rPr>
      </w:pPr>
      <w:r>
        <w:rPr>
          <w:b/>
          <w:sz w:val="22"/>
          <w:szCs w:val="18"/>
        </w:rPr>
        <w:t xml:space="preserve">«_25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__января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_51_</w:t>
      </w:r>
      <w:r>
        <w:rPr>
          <w:sz w:val="22"/>
          <w:szCs w:val="28"/>
        </w:rPr>
      </w:r>
      <w:r>
        <w:rPr>
          <w:sz w:val="22"/>
        </w:rPr>
      </w:r>
    </w:p>
    <w:p>
      <w:pPr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</w:r>
      <w:r>
        <w:rPr>
          <w:b/>
          <w:sz w:val="22"/>
          <w:szCs w:val="18"/>
        </w:rPr>
      </w:r>
    </w:p>
    <w:p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  <w:highlight w:val="none"/>
        </w:rPr>
      </w:r>
      <w:r>
        <w:rPr>
          <w:b/>
          <w:sz w:val="18"/>
          <w:szCs w:val="18"/>
          <w:highlight w:val="none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  <w:textDirection w:val="lrTb"/>
            <w:noWrap w:val="false"/>
          </w:tcPr>
          <w:p>
            <w:pPr>
              <w:pStyle w:val="6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      </w:r>
            <w:r>
              <w:rPr>
                <w:sz w:val="28"/>
                <w:szCs w:val="28"/>
              </w:rPr>
              <w:t xml:space="preserve">в Грайворонском городском округе</w:t>
            </w:r>
            <w:r/>
          </w:p>
        </w:tc>
      </w:tr>
    </w:tbl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соответствии с Жилищным</w:t>
      </w:r>
      <w:r>
        <w:rPr>
          <w:sz w:val="28"/>
          <w:szCs w:val="28"/>
        </w:rPr>
        <w:t xml:space="preserve"> кодексом</w:t>
      </w:r>
      <w:r>
        <w:rPr>
          <w:sz w:val="28"/>
          <w:szCs w:val="28"/>
        </w:rPr>
        <w:t xml:space="preserve"> Российской Федерации, Федеральным</w:t>
      </w:r>
      <w:r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Методическими </w:t>
      </w:r>
      <w:r>
        <w:rPr>
          <w:sz w:val="28"/>
          <w:szCs w:val="28"/>
        </w:rPr>
        <w:t xml:space="preserve">указаниями </w:t>
      </w:r>
      <w:r>
        <w:rPr>
          <w:sz w:val="28"/>
          <w:szCs w:val="28"/>
        </w:rPr>
        <w:t xml:space="preserve">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</w:t>
      </w:r>
      <w:r>
        <w:rPr>
          <w:sz w:val="28"/>
          <w:szCs w:val="28"/>
        </w:rPr>
        <w:t xml:space="preserve">жилищного фонда, утвержденными п</w:t>
      </w:r>
      <w:r>
        <w:rPr>
          <w:sz w:val="28"/>
          <w:szCs w:val="28"/>
        </w:rPr>
        <w:t xml:space="preserve">риказом Министерства строительства и жилищно-коммунального хозяйст</w:t>
      </w:r>
      <w:r>
        <w:rPr>
          <w:sz w:val="28"/>
          <w:szCs w:val="28"/>
        </w:rPr>
        <w:t xml:space="preserve">ва Российской</w:t>
      </w:r>
      <w:r>
        <w:rPr>
          <w:sz w:val="28"/>
          <w:szCs w:val="28"/>
        </w:rPr>
        <w:t xml:space="preserve"> Федерации от 27 сентября 2016 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668/</w:t>
      </w:r>
      <w:r>
        <w:rPr>
          <w:sz w:val="28"/>
          <w:szCs w:val="28"/>
        </w:rPr>
        <w:t xml:space="preserve">пр</w:t>
      </w:r>
      <w:r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Грайворонского городского округа</w:t>
      </w:r>
      <w:r>
        <w:rPr>
          <w:sz w:val="28"/>
          <w:szCs w:val="28"/>
        </w:rPr>
        <w:t xml:space="preserve">, </w:t>
      </w:r>
      <w:r>
        <w:rPr>
          <w:b/>
          <w:bCs/>
          <w:spacing w:val="40"/>
          <w:sz w:val="28"/>
          <w:szCs w:val="28"/>
          <w:shd w:val="clear" w:color="auto" w:fill="ffffff"/>
        </w:rPr>
        <w:t xml:space="preserve">постановля</w:t>
      </w:r>
      <w:r>
        <w:rPr>
          <w:b/>
          <w:bCs/>
          <w:sz w:val="28"/>
          <w:szCs w:val="28"/>
          <w:shd w:val="clear" w:color="auto" w:fill="ffffff"/>
        </w:rPr>
        <w:t xml:space="preserve">ю: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</w:t>
      </w:r>
      <w:r>
        <w:rPr>
          <w:sz w:val="28"/>
          <w:szCs w:val="28"/>
        </w:rPr>
        <w:t xml:space="preserve"> Положение </w:t>
      </w:r>
      <w:r>
        <w:rPr>
          <w:sz w:val="28"/>
          <w:szCs w:val="28"/>
        </w:rPr>
        <w:t xml:space="preserve">о расчете размера платы за пользование жилым помещением (платы за наем) для нанимателей жилых помещений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sz w:val="28"/>
          <w:szCs w:val="28"/>
        </w:rPr>
        <w:t xml:space="preserve">в Грайворонском городском округе (прилагается).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Установить единый коэффициент соответствия платы (Кс):</w:t>
      </w:r>
      <w:r/>
    </w:p>
    <w:p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по договорам социального </w:t>
      </w:r>
      <w:r>
        <w:rPr>
          <w:rFonts w:eastAsiaTheme="minorHAnsi"/>
          <w:sz w:val="28"/>
          <w:szCs w:val="28"/>
          <w:lang w:eastAsia="en-US"/>
        </w:rPr>
        <w:t xml:space="preserve">найма </w:t>
      </w:r>
      <w:r>
        <w:rPr>
          <w:sz w:val="28"/>
          <w:szCs w:val="28"/>
        </w:rPr>
        <w:t xml:space="preserve">в размере 0</w:t>
      </w:r>
      <w:r>
        <w:rPr>
          <w:sz w:val="28"/>
          <w:szCs w:val="28"/>
        </w:rPr>
        <w:t xml:space="preserve">,14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/>
    </w:p>
    <w:p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по договорам найма жилых помещений государственного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или муниципального жилищного фонда в размере 1,0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/>
    </w:p>
    <w:p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</w:t>
      </w:r>
      <w:r>
        <w:rPr>
          <w:rFonts w:eastAsiaTheme="minorHAnsi"/>
          <w:sz w:val="28"/>
          <w:szCs w:val="28"/>
          <w:lang w:eastAsia="en-US"/>
        </w:rPr>
        <w:tab/>
        <w:t xml:space="preserve">Признать</w:t>
      </w:r>
      <w:r>
        <w:rPr>
          <w:rFonts w:eastAsiaTheme="minorHAnsi"/>
          <w:sz w:val="28"/>
          <w:szCs w:val="28"/>
          <w:lang w:eastAsia="en-US"/>
        </w:rPr>
        <w:t xml:space="preserve"> утратившим силу постановление администрации Грайворонского городского округа от 13 декабря 2022 года №879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«Об утверждении  </w:t>
      </w:r>
      <w:r>
        <w:rPr>
          <w:sz w:val="28"/>
          <w:szCs w:val="28"/>
        </w:rPr>
        <w:t xml:space="preserve">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sz w:val="28"/>
          <w:szCs w:val="28"/>
        </w:rPr>
        <w:t xml:space="preserve">в Грайворонском городском округе»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4</w:t>
      </w:r>
      <w:r>
        <w:rPr>
          <w:bCs/>
          <w:color w:val="00000A"/>
          <w:sz w:val="28"/>
          <w:szCs w:val="28"/>
        </w:rPr>
        <w:t xml:space="preserve">.</w:t>
      </w:r>
      <w:r>
        <w:rPr>
          <w:bCs/>
          <w:color w:val="00000A"/>
          <w:sz w:val="28"/>
          <w:szCs w:val="28"/>
        </w:rPr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</w:t>
      </w:r>
      <w:r>
        <w:rPr>
          <w:spacing w:val="-2"/>
          <w:sz w:val="28"/>
          <w:szCs w:val="28"/>
        </w:rPr>
        <w:tab/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– начальника 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строительству, транспорту, ЖКХ и ТЭК Р. Г. </w:t>
      </w:r>
      <w:r>
        <w:rPr>
          <w:sz w:val="28"/>
          <w:szCs w:val="28"/>
        </w:rPr>
        <w:t xml:space="preserve">Твердуна</w:t>
      </w:r>
      <w:r>
        <w:rPr>
          <w:sz w:val="28"/>
          <w:szCs w:val="28"/>
        </w:rPr>
        <w:t xml:space="preserve">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ind w:right="-11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jc w:val="both"/>
        <w:tabs>
          <w:tab w:val="left" w:pos="1134" w:leader="none"/>
        </w:tabs>
        <w:rPr>
          <w:sz w:val="26"/>
          <w:szCs w:val="26"/>
        </w:rPr>
      </w:pPr>
      <w:r/>
      <w:bookmarkStart w:id="0" w:name="_GoBack"/>
      <w:r/>
      <w:bookmarkEnd w:id="0"/>
      <w:r/>
      <w:r/>
    </w:p>
    <w:p>
      <w:r>
        <w:br w:type="page"/>
      </w:r>
      <w:r/>
    </w:p>
    <w:tbl>
      <w:tblPr>
        <w:tblW w:w="9931" w:type="dxa"/>
        <w:tblLook w:val="01E0" w:firstRow="1" w:lastRow="1" w:firstColumn="1" w:lastColumn="1" w:noHBand="0" w:noVBand="0"/>
      </w:tblPr>
      <w:tblGrid>
        <w:gridCol w:w="4968"/>
        <w:gridCol w:w="4963"/>
      </w:tblGrid>
      <w:tr>
        <w:trPr>
          <w:trHeight w:val="1276"/>
        </w:trPr>
        <w:tc>
          <w:tcPr>
            <w:tcW w:w="4968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4963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Приложение</w:t>
            </w:r>
            <w:r/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УТВЕРЖДЕН</w:t>
            </w:r>
            <w:r>
              <w:rPr>
                <w:b/>
                <w:sz w:val="26"/>
                <w:szCs w:val="26"/>
              </w:rPr>
              <w:t xml:space="preserve">О</w:t>
            </w:r>
            <w:r/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постановлением администрации</w:t>
            </w:r>
            <w:r/>
          </w:p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Грайворонского городского округа</w:t>
            </w:r>
            <w:r/>
          </w:p>
          <w:p>
            <w:pPr>
              <w:jc w:val="center"/>
            </w:pPr>
            <w:r>
              <w:rPr>
                <w:b/>
                <w:sz w:val="26"/>
                <w:szCs w:val="26"/>
              </w:rPr>
              <w:t xml:space="preserve">от «_25_»_января_20</w:t>
            </w:r>
            <w:r>
              <w:rPr>
                <w:b/>
                <w:sz w:val="26"/>
                <w:szCs w:val="26"/>
              </w:rPr>
              <w:t xml:space="preserve">23 г. №_51_</w:t>
            </w:r>
            <w:r/>
          </w:p>
        </w:tc>
      </w:tr>
    </w:tbl>
    <w:p>
      <w:pPr>
        <w:ind w:firstLine="54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br/>
        <w:t xml:space="preserve">о расчете размера платы за пользование жилым помещением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(платы за наем) для нанимателей жилых помещений </w:t>
      </w:r>
      <w:r>
        <w:rPr>
          <w:b/>
          <w:sz w:val="28"/>
          <w:szCs w:val="28"/>
        </w:rPr>
        <w:br/>
        <w:t xml:space="preserve">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Грайворонском городском округе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90"/>
        <w:jc w:val="center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1. Общие положения</w:t>
      </w:r>
      <w:r/>
    </w:p>
    <w:p>
      <w:pPr>
        <w:pStyle w:val="672"/>
        <w:ind w:firstLine="709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ind w:firstLine="709"/>
        <w:tabs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расчете размера платы за пользование жилым помещением (платы за наем) для нанимателей жилых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 и договорам найма жилых помещений государственного или муниципального жилищного фонда в Грайворонском городском округе (далее - Положение) разработано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156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указаниями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договорам найма жилых помещений государственного или муниципального жилищного фонда, утвержденными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 xml:space="preserve"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668/</w:t>
      </w: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sz w:val="28"/>
          <w:szCs w:val="28"/>
        </w:rPr>
        <w:t xml:space="preserve">, и определяет порядок расчета размера платы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- плата за наем).</w:t>
      </w:r>
      <w:r/>
    </w:p>
    <w:p>
      <w:pPr>
        <w:pStyle w:val="672"/>
        <w:ind w:firstLine="709"/>
        <w:tabs>
          <w:tab w:val="left" w:pos="1276" w:leader="none"/>
        </w:tabs>
        <w:rPr>
          <w:rFonts w:ascii="Times New Roman" w:hAnsi="Times New Roman" w:cs="Times New Roman" w:eastAsiaTheme="minorEastAsia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1.2.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Размер платы за наем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из расчета за 1 кв</w:t>
      </w:r>
      <w:r>
        <w:rPr>
          <w:rFonts w:ascii="Times New Roman" w:hAnsi="Times New Roman" w:cs="Times New Roman"/>
          <w:sz w:val="28"/>
          <w:szCs w:val="28"/>
        </w:rPr>
        <w:t xml:space="preserve">.м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помещения, с учетом базового размера платы за наем, коэффициента соответствия платы, качества и благоустройства жилого помещения, месторасположения жилого дома.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  <w:r/>
    </w:p>
    <w:p>
      <w:pPr>
        <w:ind w:firstLine="709"/>
        <w:jc w:val="both"/>
        <w:tabs>
          <w:tab w:val="left" w:pos="127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Размер платы за </w:t>
      </w:r>
      <w:r>
        <w:rPr>
          <w:sz w:val="28"/>
          <w:szCs w:val="28"/>
        </w:rPr>
        <w:t xml:space="preserve"> наем</w:t>
      </w:r>
      <w:r>
        <w:rPr>
          <w:sz w:val="28"/>
          <w:szCs w:val="28"/>
        </w:rPr>
        <w:t xml:space="preserve"> жилого помещения </w:t>
      </w:r>
      <w:r>
        <w:rPr>
          <w:rFonts w:eastAsiaTheme="minorHAnsi"/>
          <w:sz w:val="28"/>
          <w:szCs w:val="28"/>
          <w:lang w:eastAsia="en-US"/>
        </w:rPr>
        <w:t xml:space="preserve">может изменяться не чаще одного </w:t>
      </w:r>
      <w:r>
        <w:rPr>
          <w:rFonts w:eastAsiaTheme="minorHAnsi"/>
          <w:sz w:val="28"/>
          <w:szCs w:val="28"/>
          <w:lang w:eastAsia="en-US"/>
        </w:rPr>
        <w:t xml:space="preserve">раза в три года.</w:t>
      </w:r>
      <w:r/>
    </w:p>
    <w:p>
      <w:pPr>
        <w:ind w:firstLine="709"/>
        <w:jc w:val="both"/>
        <w:tabs>
          <w:tab w:val="left" w:pos="127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Доходы, получаемые в виде платы за </w:t>
      </w:r>
      <w:r>
        <w:rPr>
          <w:rFonts w:eastAsiaTheme="minorHAnsi"/>
          <w:sz w:val="28"/>
          <w:szCs w:val="28"/>
          <w:lang w:eastAsia="en-US"/>
        </w:rPr>
        <w:t xml:space="preserve">наем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, являются неналоговыми доходами бюджета Грайворонского городского округа.</w:t>
      </w:r>
      <w:r/>
    </w:p>
    <w:p>
      <w:pPr>
        <w:ind w:firstLine="709"/>
        <w:jc w:val="both"/>
        <w:tabs>
          <w:tab w:val="left" w:pos="127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</w:r>
      <w:r/>
    </w:p>
    <w:p>
      <w:pPr>
        <w:ind w:firstLine="709"/>
        <w:jc w:val="both"/>
        <w:tabs>
          <w:tab w:val="left" w:pos="127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Главным администратором неналоговых доходов бюджета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отношении поступления платы за</w:t>
      </w:r>
      <w:r>
        <w:rPr>
          <w:sz w:val="28"/>
          <w:szCs w:val="28"/>
        </w:rPr>
        <w:t xml:space="preserve"> наем</w:t>
      </w:r>
      <w:r>
        <w:rPr>
          <w:sz w:val="28"/>
          <w:szCs w:val="28"/>
        </w:rPr>
        <w:t xml:space="preserve"> муниципального жилого помещения </w:t>
      </w:r>
      <w:r>
        <w:rPr>
          <w:rFonts w:eastAsiaTheme="minorHAnsi"/>
          <w:sz w:val="28"/>
          <w:szCs w:val="28"/>
          <w:lang w:eastAsia="en-US"/>
        </w:rPr>
        <w:t xml:space="preserve"> является управление по строительству, транспорту, жилищно-коммунальному хозяйству и ТЭК администрации Грайворонского городского округа. 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eastAsiaTheme="minorEastAsia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1.6.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EastAsia"/>
          <w:sz w:val="28"/>
          <w:szCs w:val="28"/>
        </w:rPr>
        <w:t xml:space="preserve">Плата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наем жилого помещения </w:t>
      </w:r>
      <w:r>
        <w:rPr>
          <w:rFonts w:eastAsiaTheme="minorEastAsia"/>
          <w:sz w:val="28"/>
          <w:szCs w:val="28"/>
        </w:rPr>
        <w:t xml:space="preserve">вносится нанимателями ежемесячно, не позднее 10-го числа месяца, следующего за </w:t>
      </w:r>
      <w:r>
        <w:rPr>
          <w:rFonts w:eastAsiaTheme="minorEastAsia"/>
          <w:sz w:val="28"/>
          <w:szCs w:val="28"/>
        </w:rPr>
        <w:t xml:space="preserve">отчетным</w:t>
      </w:r>
      <w:r>
        <w:rPr>
          <w:rFonts w:eastAsiaTheme="minorEastAsia"/>
          <w:sz w:val="28"/>
          <w:szCs w:val="28"/>
        </w:rPr>
        <w:t xml:space="preserve">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1.7.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Начисление платы за </w:t>
      </w:r>
      <w:r>
        <w:rPr>
          <w:sz w:val="28"/>
          <w:szCs w:val="28"/>
        </w:rPr>
        <w:t xml:space="preserve">наем муниципального жилого помещения</w:t>
      </w:r>
      <w:r>
        <w:rPr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производится одновременно с начислением платежей за жилищно-коммунальные услуги.</w:t>
      </w:r>
      <w:r/>
    </w:p>
    <w:p>
      <w:pPr>
        <w:ind w:firstLine="709"/>
        <w:jc w:val="both"/>
        <w:tabs>
          <w:tab w:val="left" w:pos="127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1.8.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Учет поступления платы </w:t>
      </w:r>
      <w:r>
        <w:rPr>
          <w:sz w:val="28"/>
          <w:szCs w:val="28"/>
        </w:rPr>
        <w:t xml:space="preserve">за наем</w:t>
      </w:r>
      <w:r>
        <w:rPr>
          <w:sz w:val="28"/>
          <w:szCs w:val="28"/>
        </w:rPr>
        <w:t xml:space="preserve"> муниципального жилого </w:t>
      </w:r>
      <w:r>
        <w:rPr>
          <w:sz w:val="28"/>
          <w:szCs w:val="28"/>
        </w:rPr>
        <w:t xml:space="preserve">помещения</w:t>
      </w:r>
      <w:r>
        <w:rPr>
          <w:rFonts w:eastAsiaTheme="minorEastAsia"/>
          <w:sz w:val="28"/>
          <w:szCs w:val="28"/>
        </w:rPr>
        <w:t xml:space="preserve"> и контроль </w:t>
      </w:r>
      <w:r>
        <w:rPr>
          <w:rFonts w:eastAsiaTheme="minorEastAsia"/>
          <w:sz w:val="28"/>
          <w:szCs w:val="28"/>
        </w:rPr>
        <w:t xml:space="preserve">своевременного</w:t>
      </w:r>
      <w:r>
        <w:rPr>
          <w:rFonts w:eastAsiaTheme="minorEastAsia"/>
          <w:sz w:val="28"/>
          <w:szCs w:val="28"/>
        </w:rPr>
        <w:t xml:space="preserve"> её</w:t>
      </w:r>
      <w:r>
        <w:rPr>
          <w:rFonts w:eastAsiaTheme="minorEastAsia"/>
          <w:sz w:val="28"/>
          <w:szCs w:val="28"/>
        </w:rPr>
        <w:t xml:space="preserve"> поступления производит управление по строительству, транспорту, ЖКХ и ТЭК администрации Грайворонского городского округа.</w:t>
      </w:r>
      <w:r/>
    </w:p>
    <w:p>
      <w:pPr>
        <w:pStyle w:val="672"/>
        <w:ind w:firstLine="709"/>
        <w:tabs>
          <w:tab w:val="left" w:pos="1276" w:leader="none"/>
        </w:tabs>
        <w:rPr>
          <w:rFonts w:ascii="Times New Roman" w:hAnsi="Times New Roman" w:cs="Times New Roman" w:eastAsiaTheme="minorEastAsia"/>
          <w:sz w:val="28"/>
          <w:szCs w:val="28"/>
        </w:rPr>
        <w:outlineLvl w:val="1"/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1.9.</w:t>
      </w:r>
      <w:r>
        <w:rPr>
          <w:rFonts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Полученные средства от взимания платы </w:t>
      </w:r>
      <w:r>
        <w:rPr>
          <w:rFonts w:ascii="Times New Roman" w:hAnsi="Times New Roman" w:cs="Times New Roman"/>
          <w:sz w:val="28"/>
          <w:szCs w:val="28"/>
        </w:rPr>
        <w:t xml:space="preserve">за наем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жилого помещения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используются на капитальный ремонт, реконструкцию </w:t>
      </w:r>
      <w:r>
        <w:rPr>
          <w:rFonts w:ascii="Times New Roman" w:hAnsi="Times New Roman" w:cs="Times New Roman" w:eastAsiaTheme="minorEastAsia"/>
          <w:sz w:val="28"/>
          <w:szCs w:val="28"/>
        </w:rPr>
        <w:br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и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модернизацию муниципального жилищного фонда.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1.10. Ответственность за своевременность и полноту внесения платы </w:t>
      </w:r>
      <w:r>
        <w:rPr>
          <w:rFonts w:eastAsiaTheme="minorEastAsia"/>
          <w:sz w:val="28"/>
          <w:szCs w:val="28"/>
        </w:rPr>
        <w:br/>
      </w:r>
      <w:r>
        <w:rPr>
          <w:sz w:val="28"/>
          <w:szCs w:val="28"/>
        </w:rPr>
        <w:t xml:space="preserve">за наем</w:t>
      </w:r>
      <w:r>
        <w:rPr>
          <w:sz w:val="28"/>
          <w:szCs w:val="28"/>
        </w:rPr>
        <w:t xml:space="preserve"> жилого помещения </w:t>
      </w:r>
      <w:r>
        <w:rPr>
          <w:rFonts w:eastAsiaTheme="minorEastAsia"/>
          <w:sz w:val="28"/>
          <w:szCs w:val="28"/>
        </w:rPr>
        <w:t xml:space="preserve">несут наниматели в соответствии с жилищным законодательством Р</w:t>
      </w:r>
      <w:r>
        <w:rPr>
          <w:rFonts w:eastAsiaTheme="minorEastAsia"/>
          <w:sz w:val="28"/>
          <w:szCs w:val="28"/>
        </w:rPr>
        <w:t xml:space="preserve">оссийской </w:t>
      </w:r>
      <w:r>
        <w:rPr>
          <w:rFonts w:eastAsiaTheme="minorEastAsia"/>
          <w:sz w:val="28"/>
          <w:szCs w:val="28"/>
        </w:rPr>
        <w:t xml:space="preserve">Ф</w:t>
      </w:r>
      <w:r>
        <w:rPr>
          <w:rFonts w:eastAsiaTheme="minorEastAsia"/>
          <w:sz w:val="28"/>
          <w:szCs w:val="28"/>
        </w:rPr>
        <w:t xml:space="preserve">едерации</w:t>
      </w:r>
      <w:r>
        <w:rPr>
          <w:rFonts w:eastAsiaTheme="minorEastAsia"/>
          <w:sz w:val="28"/>
          <w:szCs w:val="28"/>
        </w:rPr>
        <w:t xml:space="preserve"> и настоящим Положением.</w:t>
      </w:r>
      <w:r/>
    </w:p>
    <w:p>
      <w:pPr>
        <w:ind w:firstLine="709"/>
        <w:jc w:val="both"/>
        <w:tabs>
          <w:tab w:val="left" w:pos="127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1.11</w:t>
      </w:r>
      <w:r>
        <w:rPr>
          <w:rFonts w:eastAsiaTheme="minorEastAsia"/>
          <w:sz w:val="28"/>
          <w:szCs w:val="28"/>
        </w:rPr>
        <w:t xml:space="preserve">.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Граждане, признанные в установленном Жилищным</w:t>
      </w:r>
      <w:r>
        <w:rPr>
          <w:rFonts w:eastAsiaTheme="minorHAnsi"/>
          <w:sz w:val="28"/>
          <w:szCs w:val="28"/>
          <w:lang w:eastAsia="en-US"/>
        </w:rPr>
        <w:t xml:space="preserve"> кодексом</w:t>
      </w:r>
      <w:r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 xml:space="preserve">Ф</w:t>
      </w:r>
      <w:r>
        <w:rPr>
          <w:rFonts w:eastAsiaTheme="minorHAnsi"/>
          <w:sz w:val="28"/>
          <w:szCs w:val="28"/>
          <w:lang w:eastAsia="en-US"/>
        </w:rPr>
        <w:t xml:space="preserve">едерации</w:t>
      </w:r>
      <w:r>
        <w:rPr>
          <w:rFonts w:eastAsiaTheme="minorHAnsi"/>
          <w:sz w:val="28"/>
          <w:szCs w:val="28"/>
          <w:lang w:eastAsia="en-US"/>
        </w:rPr>
        <w:t xml:space="preserve"> порядке малоимущими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  <w:r/>
    </w:p>
    <w:p>
      <w:pPr>
        <w:ind w:firstLine="709"/>
        <w:jc w:val="both"/>
        <w:tabs>
          <w:tab w:val="left" w:pos="127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1.12.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Плата за наем не взимается в домах, признанных в установленном законодательством порядке аварийными, жилых помещениях, признанных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установленном законодательством порядке непригодными для проживания.</w:t>
      </w:r>
      <w:r/>
    </w:p>
    <w:p>
      <w:pPr>
        <w:ind w:firstLine="709"/>
        <w:jc w:val="both"/>
        <w:tabs>
          <w:tab w:val="left" w:pos="1276" w:leader="none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1.13.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Обязанность по внесению платы </w:t>
      </w:r>
      <w:r>
        <w:rPr>
          <w:sz w:val="28"/>
          <w:szCs w:val="28"/>
        </w:rPr>
        <w:t xml:space="preserve">за наем</w:t>
      </w:r>
      <w:r>
        <w:rPr>
          <w:sz w:val="28"/>
          <w:szCs w:val="28"/>
        </w:rPr>
        <w:t xml:space="preserve"> жилого помещения  </w:t>
      </w:r>
      <w:r>
        <w:rPr>
          <w:rFonts w:eastAsiaTheme="minorHAnsi"/>
          <w:sz w:val="28"/>
          <w:szCs w:val="28"/>
          <w:lang w:eastAsia="en-US"/>
        </w:rPr>
        <w:t xml:space="preserve">возникает у нанимателя с момента заключения договора найма, а в случае отсутствия договора - с момента возникновения права на вселение в жилое помещение.</w:t>
      </w:r>
      <w:r/>
    </w:p>
    <w:p>
      <w:pPr>
        <w:pStyle w:val="690"/>
        <w:jc w:val="center"/>
        <w:rPr>
          <w:sz w:val="28"/>
          <w:szCs w:val="28"/>
        </w:rPr>
        <w:outlineLvl w:val="1"/>
      </w:pPr>
      <w:r>
        <w:rPr>
          <w:sz w:val="28"/>
          <w:szCs w:val="28"/>
        </w:rPr>
      </w:r>
      <w:r/>
    </w:p>
    <w:p>
      <w:pPr>
        <w:pStyle w:val="690"/>
        <w:jc w:val="center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2. Размер платы за наем жилого помещения</w:t>
      </w:r>
      <w:r/>
    </w:p>
    <w:p>
      <w:pPr>
        <w:pStyle w:val="672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Размер платы за наем j-го жилого помещения, предоставленного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или договору найма жилого помещения государственного или муниципального жилищного фонда, определяется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формуле:</w:t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</w:t>
      </w:r>
      <w:r>
        <w:rPr>
          <w:rFonts w:ascii="Times New Roman" w:hAnsi="Times New Roman" w:cs="Times New Roman"/>
          <w:sz w:val="28"/>
          <w:szCs w:val="28"/>
        </w:rPr>
        <w:t xml:space="preserve">j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Нб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 xml:space="preserve">Кj</w:t>
      </w:r>
      <w:r>
        <w:rPr>
          <w:rFonts w:ascii="Times New Roman" w:hAnsi="Times New Roman" w:cs="Times New Roman"/>
          <w:sz w:val="28"/>
          <w:szCs w:val="28"/>
        </w:rPr>
        <w:t xml:space="preserve"> * Кс * </w:t>
      </w:r>
      <w:r>
        <w:rPr>
          <w:rFonts w:ascii="Times New Roman" w:hAnsi="Times New Roman" w:cs="Times New Roman"/>
          <w:sz w:val="28"/>
          <w:szCs w:val="28"/>
        </w:rPr>
        <w:t xml:space="preserve">Пj</w:t>
      </w:r>
      <w:r>
        <w:rPr>
          <w:rFonts w:ascii="Times New Roman" w:hAnsi="Times New Roman" w:cs="Times New Roman"/>
          <w:sz w:val="28"/>
          <w:szCs w:val="28"/>
        </w:rPr>
        <w:t xml:space="preserve">,  где:</w:t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</w:t>
      </w:r>
      <w:r>
        <w:rPr>
          <w:rFonts w:ascii="Times New Roman" w:hAnsi="Times New Roman" w:cs="Times New Roman"/>
          <w:sz w:val="28"/>
          <w:szCs w:val="28"/>
        </w:rPr>
        <w:t xml:space="preserve">j</w:t>
      </w:r>
      <w:r>
        <w:rPr>
          <w:rFonts w:ascii="Times New Roman" w:hAnsi="Times New Roman" w:cs="Times New Roman"/>
          <w:sz w:val="28"/>
          <w:szCs w:val="28"/>
        </w:rPr>
        <w:t xml:space="preserve"> - размер платы за наем j-го жилого помещения, предоставленного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или договору найма жилого помещения государственного или муниципального жилищного фонда;</w:t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Нб</w:t>
      </w:r>
      <w:r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j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 - коэффициент соответствия платы;</w:t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j</w:t>
      </w:r>
      <w:r>
        <w:rPr>
          <w:rFonts w:ascii="Times New Roman" w:hAnsi="Times New Roman" w:cs="Times New Roman"/>
          <w:sz w:val="28"/>
          <w:szCs w:val="28"/>
        </w:rPr>
        <w:t xml:space="preserve"> - общая площадь j-го жилого помещения, предоставленного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или договору найма жилого помещения государственного или муниципального жилищного фонда (кв.м).</w:t>
      </w:r>
      <w:r/>
    </w:p>
    <w:p>
      <w:pPr>
        <w:pStyle w:val="672"/>
        <w:ind w:firstLine="709"/>
        <w:rPr>
          <w:rFonts w:ascii="Times New Roman" w:hAnsi="Times New Roman" w:cs="Times New Roman"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Величина коэффициента соответствия платы устанавливается администрацией Грайворонского городского округа исходя из социально-экономических условий в Грайворонском городском округе, по договорам социального найма в интерв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але [0;1], по договорам найма жилых помещений государственного или муниципального жилищного фонда в интервале [1;2]. При этом коэффициент соответствия платы может быть установлен как единым для всех граждан, проживающих в данном муниципальном образовании, 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br/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так и дифференцированно д</w:t>
      </w:r>
      <w:r>
        <w:rPr>
          <w:rFonts w:ascii="Times New Roman" w:hAnsi="Times New Roman" w:cs="Times New Roman" w:eastAsiaTheme="minorHAnsi"/>
          <w:sz w:val="28"/>
          <w:szCs w:val="28"/>
          <w:lang w:eastAsia="en-US"/>
        </w:rPr>
        <w:t xml:space="preserve">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  <w:r/>
    </w:p>
    <w:p>
      <w:pPr>
        <w:pStyle w:val="67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jc w:val="center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3. Базовый размер платы за наем жилого помещения</w:t>
      </w:r>
      <w:r/>
    </w:p>
    <w:p>
      <w:pPr>
        <w:pStyle w:val="672"/>
        <w:ind w:firstLine="5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Базовый размер платы за наем жилого помещения определяется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формуле:</w:t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2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СРс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x</w:t>
      </w:r>
      <w:r>
        <w:rPr>
          <w:rFonts w:ascii="Times New Roman" w:hAnsi="Times New Roman" w:cs="Times New Roman"/>
          <w:sz w:val="28"/>
          <w:szCs w:val="28"/>
        </w:rPr>
        <w:t xml:space="preserve"> 0,001,   где:</w:t>
      </w:r>
      <w:r/>
    </w:p>
    <w:p>
      <w:pPr>
        <w:pStyle w:val="672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Нб</w:t>
      </w:r>
      <w:r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СРс</w:t>
      </w:r>
      <w:r>
        <w:rPr>
          <w:rFonts w:ascii="Times New Roman" w:hAnsi="Times New Roman" w:cs="Times New Roman"/>
          <w:sz w:val="28"/>
          <w:szCs w:val="28"/>
        </w:rPr>
        <w:t xml:space="preserve"> - средняя цена 1 кв</w:t>
      </w:r>
      <w:r>
        <w:rPr>
          <w:rFonts w:ascii="Times New Roman" w:hAnsi="Times New Roman" w:cs="Times New Roman"/>
          <w:sz w:val="28"/>
          <w:szCs w:val="28"/>
        </w:rPr>
        <w:t xml:space="preserve">.м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 Белгородской области.</w:t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Средняя цена 1 кв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м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 Белгородской области определяется по актуальным данным Федеральной службы государственной статистики, которые размещаются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свободном доступе в Единой межведомственной информационно-статистической системе (ЕМИСС)</w:t>
      </w:r>
      <w:r>
        <w:rPr>
          <w:rFonts w:ascii="Times New Roman" w:hAnsi="Times New Roman" w:cs="Times New Roman"/>
          <w:sz w:val="28"/>
          <w:szCs w:val="28"/>
        </w:rPr>
        <w:t xml:space="preserve"> (по всем типам квартир)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указанной информации по Белгородской области используется средняя цена 1 кв</w:t>
      </w:r>
      <w:r>
        <w:rPr>
          <w:rFonts w:ascii="Times New Roman" w:hAnsi="Times New Roman" w:cs="Times New Roman"/>
          <w:sz w:val="28"/>
          <w:szCs w:val="28"/>
        </w:rPr>
        <w:t xml:space="preserve">.м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площади квартир на вторичном рынке жилья по Центральному федеральному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(по всем типам квартир)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72"/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0"/>
        <w:jc w:val="center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4. Коэффициент, характеризующий качество и благоустройство</w:t>
      </w:r>
      <w:r/>
    </w:p>
    <w:p>
      <w:pPr>
        <w:pStyle w:val="6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помещения, месторасположение дома</w:t>
      </w:r>
      <w:r/>
    </w:p>
    <w:p>
      <w:pPr>
        <w:pStyle w:val="672"/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Размер платы за наем жилого помещения устанавливается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коэффициента, характеризующего качество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благоустройство жилого помещения, месторасположение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дома -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j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</w:t>
      </w: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Интегральное значение </w:t>
      </w:r>
      <w:r>
        <w:rPr>
          <w:rFonts w:eastAsiaTheme="minorHAnsi"/>
          <w:sz w:val="28"/>
          <w:szCs w:val="28"/>
          <w:lang w:eastAsia="en-US"/>
        </w:rPr>
        <w:t xml:space="preserve">К</w:t>
      </w:r>
      <w:r>
        <w:rPr>
          <w:rFonts w:eastAsiaTheme="minorHAnsi"/>
          <w:sz w:val="28"/>
          <w:szCs w:val="28"/>
          <w:vertAlign w:val="subscript"/>
          <w:lang w:eastAsia="en-US"/>
        </w:rPr>
        <w:t xml:space="preserve">j</w:t>
      </w:r>
      <w:r>
        <w:rPr>
          <w:rFonts w:eastAsiaTheme="minorHAnsi"/>
          <w:sz w:val="28"/>
          <w:szCs w:val="28"/>
          <w:lang w:eastAsia="en-US"/>
        </w:rPr>
        <w:t xml:space="preserve"> для жилого помещения рассчитывается как средневзвешенное значение показателей по отдельным параметрам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по формуле</w:t>
      </w:r>
      <w:r>
        <w:rPr>
          <w:sz w:val="28"/>
          <w:szCs w:val="28"/>
        </w:rPr>
        <w:t xml:space="preserve">:</w:t>
      </w:r>
      <w:r/>
    </w:p>
    <w:p>
      <w:pPr>
        <w:pStyle w:val="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3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62075" cy="438150"/>
                <wp:effectExtent l="0" t="0" r="0" b="0"/>
                <wp:docPr id="2" name="Рисунок 1" descr="base_23956_85390_32768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e_23956_85390_32768" hidden="0"/>
                        <pic:cNvPicPr>
                          <a:picLocks noChangeArrowheads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362075" cy="438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07.2pt;height:34.5pt;" stroked="f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pStyle w:val="6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</w:t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j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К3 - коэффициент, характеризующий месторасположение дома.</w:t>
      </w:r>
      <w:r/>
    </w:p>
    <w:p>
      <w:pPr>
        <w:pStyle w:val="672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72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Значение показателей К-1 –К-3</w:t>
      </w:r>
      <w:r/>
    </w:p>
    <w:p>
      <w:pPr>
        <w:pStyle w:val="672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Значение показателей К-1 –К-3 оцениваются в интервале (0,8; 1,3)</w:t>
      </w:r>
      <w:r/>
    </w:p>
    <w:p>
      <w:pPr>
        <w:pStyle w:val="672"/>
        <w:ind w:firstLine="540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552"/>
        <w:gridCol w:w="4660"/>
        <w:gridCol w:w="2285"/>
      </w:tblGrid>
      <w:tr>
        <w:trPr>
          <w:tblHeader/>
        </w:trPr>
        <w:tc>
          <w:tcPr>
            <w:tcW w:w="2552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</w:t>
            </w:r>
            <w:r/>
          </w:p>
        </w:tc>
        <w:tc>
          <w:tcPr>
            <w:tcW w:w="4660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</w:t>
            </w:r>
            <w:r/>
          </w:p>
        </w:tc>
        <w:tc>
          <w:tcPr>
            <w:tcW w:w="2285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коэффициента</w:t>
            </w:r>
            <w:r/>
          </w:p>
        </w:tc>
      </w:tr>
      <w:tr>
        <w:trPr/>
        <w:tc>
          <w:tcPr>
            <w:tcW w:w="2552" w:type="dxa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жилого помещения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4660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 (керамический, силикатный)</w:t>
            </w:r>
            <w:r/>
          </w:p>
        </w:tc>
        <w:tc>
          <w:tcPr>
            <w:tcW w:w="2285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</w:t>
            </w:r>
            <w:r/>
          </w:p>
        </w:tc>
      </w:tr>
      <w:tr>
        <w:trPr/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center"/>
              <w:spacing w:after="1" w:line="0" w:lineRule="atLeast"/>
            </w:pPr>
            <w:r/>
            <w:r/>
          </w:p>
        </w:tc>
        <w:tc>
          <w:tcPr>
            <w:tcW w:w="4660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панели и блоки, монолит</w:t>
            </w:r>
            <w:r/>
          </w:p>
        </w:tc>
        <w:tc>
          <w:tcPr>
            <w:tcW w:w="2285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0,85</w:t>
            </w:r>
            <w:r/>
          </w:p>
        </w:tc>
      </w:tr>
      <w:tr>
        <w:trPr/>
        <w:tc>
          <w:tcPr>
            <w:tcW w:w="2552" w:type="dxa"/>
            <w:vMerge w:val="continue"/>
            <w:textDirection w:val="lrTb"/>
            <w:noWrap w:val="false"/>
          </w:tcPr>
          <w:p>
            <w:pPr>
              <w:jc w:val="center"/>
              <w:spacing w:after="1" w:line="0" w:lineRule="atLeast"/>
            </w:pPr>
            <w:r/>
            <w:r/>
          </w:p>
        </w:tc>
        <w:tc>
          <w:tcPr>
            <w:tcW w:w="4660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Древесина, шлакобетон и прочие</w:t>
            </w:r>
            <w:r/>
          </w:p>
        </w:tc>
        <w:tc>
          <w:tcPr>
            <w:tcW w:w="2285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</w:t>
            </w:r>
            <w:r/>
          </w:p>
        </w:tc>
      </w:tr>
      <w:tr>
        <w:trPr/>
        <w:tc>
          <w:tcPr>
            <w:tcW w:w="2552" w:type="dxa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благоустройства жилого помещения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4660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инженерными коммуникациями: электроснабжение централизованным горячим и холодным водоснабжением, водоотведением, газоснабжением, отоплением, 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ванны (душа)</w:t>
            </w:r>
            <w:r/>
          </w:p>
        </w:tc>
        <w:tc>
          <w:tcPr>
            <w:tcW w:w="2285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</w:t>
            </w:r>
            <w:r/>
          </w:p>
        </w:tc>
      </w:tr>
      <w:tr>
        <w:trPr/>
        <w:tc>
          <w:tcPr>
            <w:tcW w:w="2552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4660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инженерными коммуникациями: электроснабжение централизованным горячим и холодным водоснабжением, водоотведением, газоснабжением, индивидуальным отоплением,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ванны (душа)</w:t>
            </w:r>
            <w:r/>
          </w:p>
        </w:tc>
        <w:tc>
          <w:tcPr>
            <w:tcW w:w="2285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0,95</w:t>
            </w:r>
            <w:r/>
          </w:p>
        </w:tc>
      </w:tr>
      <w:tr>
        <w:trPr/>
        <w:tc>
          <w:tcPr>
            <w:tcW w:w="2552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4660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инженерными коммуникациями: электроснабжение оборудованные газовыми водогрейными колонками с централизованным холодным водоснабжением, водоотведением, газоснабжением, индивидуальным отоплением,  наличие ванны (душа)</w:t>
            </w:r>
            <w:r/>
          </w:p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85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</w:t>
            </w:r>
            <w:r/>
          </w:p>
        </w:tc>
      </w:tr>
      <w:tr>
        <w:trPr/>
        <w:tc>
          <w:tcPr>
            <w:tcW w:w="2552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4660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инженерными коммуникациями: жилые помещения блокированной застройки с индивидуальным газовым отоплением, электроснабжение оборудованные газовыми водогрейными колонками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централизованным холодным водоснабжением, водоотведением, газоснабжением,  наличие ванны (душа)</w:t>
            </w:r>
            <w:r/>
          </w:p>
        </w:tc>
        <w:tc>
          <w:tcPr>
            <w:tcW w:w="2285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0,85</w:t>
            </w:r>
            <w:r/>
          </w:p>
        </w:tc>
      </w:tr>
      <w:tr>
        <w:trPr/>
        <w:tc>
          <w:tcPr>
            <w:tcW w:w="2552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4660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жилые помещения</w:t>
            </w:r>
            <w:r/>
          </w:p>
        </w:tc>
        <w:tc>
          <w:tcPr>
            <w:tcW w:w="2285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2552" w:type="dxa"/>
            <w:vMerge w:val="restart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месторасположения дома (К3)</w:t>
            </w:r>
            <w:r/>
          </w:p>
        </w:tc>
        <w:tc>
          <w:tcPr>
            <w:tcW w:w="4660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расположенные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центральной части города Грайворона</w:t>
            </w:r>
            <w:r/>
          </w:p>
        </w:tc>
        <w:tc>
          <w:tcPr>
            <w:tcW w:w="2285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</w:t>
            </w:r>
            <w:r/>
          </w:p>
        </w:tc>
      </w:tr>
      <w:tr>
        <w:trPr/>
        <w:tc>
          <w:tcPr>
            <w:tcBorders>
              <w:bottom w:val="none" w:color="000000" w:sz="4" w:space="0"/>
            </w:tcBorders>
            <w:tcW w:w="2552" w:type="dxa"/>
            <w:vMerge w:val="continue"/>
            <w:textDirection w:val="lrTb"/>
            <w:noWrap w:val="false"/>
          </w:tcPr>
          <w:p>
            <w:pPr>
              <w:spacing w:after="1" w:line="0" w:lineRule="atLeast"/>
            </w:pPr>
            <w:r/>
            <w:r/>
          </w:p>
        </w:tc>
        <w:tc>
          <w:tcPr>
            <w:tcW w:w="4660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удаленные на расстояние не более 5 км от центральной части города Грайворона</w:t>
            </w:r>
            <w:r/>
          </w:p>
        </w:tc>
        <w:tc>
          <w:tcPr>
            <w:tcW w:w="2285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0,9</w:t>
            </w:r>
            <w:r/>
          </w:p>
        </w:tc>
      </w:tr>
      <w:tr>
        <w:trPr/>
        <w:tc>
          <w:tcPr>
            <w:tcBorders>
              <w:top w:val="none" w:color="000000" w:sz="4" w:space="0"/>
            </w:tcBorders>
            <w:tcW w:w="2552" w:type="dxa"/>
            <w:textDirection w:val="lrTb"/>
            <w:noWrap w:val="false"/>
          </w:tcPr>
          <w:p>
            <w:pPr>
              <w:pStyle w:val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660" w:type="dxa"/>
            <w:textDirection w:val="lrTb"/>
            <w:noWrap w:val="false"/>
          </w:tcPr>
          <w:p>
            <w:pPr>
              <w:pStyle w:val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удаленные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расстояние  более 5 км от центральной части города Грайворона</w:t>
            </w:r>
            <w:r/>
          </w:p>
        </w:tc>
        <w:tc>
          <w:tcPr>
            <w:tcW w:w="2285" w:type="dxa"/>
            <w:textDirection w:val="lrTb"/>
            <w:noWrap w:val="false"/>
          </w:tcPr>
          <w:p>
            <w:pPr>
              <w:pStyle w:val="672"/>
              <w:jc w:val="center"/>
              <w:tabs>
                <w:tab w:val="left" w:pos="408" w:leader="none"/>
                <w:tab w:val="center" w:pos="75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</w:t>
            </w:r>
            <w:r/>
          </w:p>
        </w:tc>
      </w:tr>
    </w:tbl>
    <w:p>
      <w:pPr>
        <w:pStyle w:val="672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72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Конкретному жилому помещению соответствует лишь одно из значений каждого из показателей качества и благоустройства жил</w:t>
      </w:r>
      <w:r>
        <w:rPr>
          <w:rFonts w:ascii="Times New Roman" w:hAnsi="Times New Roman" w:cs="Times New Roman"/>
          <w:sz w:val="28"/>
          <w:szCs w:val="28"/>
        </w:rPr>
        <w:t xml:space="preserve">ого помещения, месторасположения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жилого дома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center"/>
        <w:rPr>
          <w:b/>
        </w:rPr>
      </w:pPr>
      <w:r>
        <w:rPr>
          <w:b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28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479052"/>
      <w:docPartObj>
        <w:docPartGallery w:val="Page Numbers (Top of Page)"/>
        <w:docPartUnique w:val="true"/>
      </w:docPartObj>
      <w:rPr/>
    </w:sdtPr>
    <w:sdtContent>
      <w:p>
        <w:pPr>
          <w:pStyle w:val="684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6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2"/>
    <w:next w:val="662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2"/>
    <w:next w:val="66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2"/>
    <w:next w:val="66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2"/>
    <w:next w:val="66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2"/>
    <w:next w:val="66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2"/>
    <w:next w:val="66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2"/>
    <w:next w:val="66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2"/>
    <w:next w:val="66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2"/>
    <w:next w:val="66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2"/>
    <w:next w:val="66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3"/>
    <w:link w:val="32"/>
    <w:uiPriority w:val="10"/>
    <w:rPr>
      <w:sz w:val="48"/>
      <w:szCs w:val="48"/>
    </w:rPr>
  </w:style>
  <w:style w:type="paragraph" w:styleId="34">
    <w:name w:val="Subtitle"/>
    <w:basedOn w:val="662"/>
    <w:next w:val="66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3"/>
    <w:link w:val="34"/>
    <w:uiPriority w:val="11"/>
    <w:rPr>
      <w:sz w:val="24"/>
      <w:szCs w:val="24"/>
    </w:rPr>
  </w:style>
  <w:style w:type="paragraph" w:styleId="36">
    <w:name w:val="Quote"/>
    <w:basedOn w:val="662"/>
    <w:next w:val="66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2"/>
    <w:next w:val="66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3"/>
    <w:link w:val="684"/>
    <w:uiPriority w:val="99"/>
  </w:style>
  <w:style w:type="character" w:styleId="43">
    <w:name w:val="Footer Char"/>
    <w:basedOn w:val="663"/>
    <w:link w:val="686"/>
    <w:uiPriority w:val="99"/>
  </w:style>
  <w:style w:type="paragraph" w:styleId="44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86"/>
    <w:uiPriority w:val="99"/>
  </w:style>
  <w:style w:type="table" w:styleId="47">
    <w:name w:val="Table Grid Light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3"/>
    <w:uiPriority w:val="99"/>
    <w:unhideWhenUsed/>
    <w:rPr>
      <w:vertAlign w:val="superscript"/>
    </w:rPr>
  </w:style>
  <w:style w:type="paragraph" w:styleId="176">
    <w:name w:val="endnote text"/>
    <w:basedOn w:val="66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3"/>
    <w:uiPriority w:val="99"/>
    <w:semiHidden/>
    <w:unhideWhenUsed/>
    <w:rPr>
      <w:vertAlign w:val="superscript"/>
    </w:rPr>
  </w:style>
  <w:style w:type="paragraph" w:styleId="179">
    <w:name w:val="toc 1"/>
    <w:basedOn w:val="662"/>
    <w:next w:val="66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2"/>
    <w:next w:val="66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2"/>
    <w:next w:val="66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2"/>
    <w:next w:val="66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2"/>
    <w:next w:val="66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2"/>
    <w:next w:val="66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2"/>
    <w:next w:val="66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2"/>
    <w:next w:val="66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2"/>
    <w:next w:val="66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paragraph" w:styleId="666">
    <w:name w:val="Body Text"/>
    <w:basedOn w:val="662"/>
    <w:link w:val="667"/>
    <w:pPr>
      <w:spacing w:after="120"/>
    </w:pPr>
    <w:rPr>
      <w:sz w:val="20"/>
      <w:szCs w:val="20"/>
    </w:rPr>
  </w:style>
  <w:style w:type="character" w:styleId="667" w:customStyle="1">
    <w:name w:val="Основной текст Знак"/>
    <w:basedOn w:val="663"/>
    <w:link w:val="666"/>
    <w:rPr>
      <w:rFonts w:ascii="Times New Roman" w:hAnsi="Times New Roman" w:cs="Times New Roman"/>
    </w:rPr>
  </w:style>
  <w:style w:type="paragraph" w:styleId="668">
    <w:name w:val="Body Text Indent 2"/>
    <w:basedOn w:val="662"/>
    <w:link w:val="669"/>
    <w:pPr>
      <w:ind w:left="283"/>
      <w:spacing w:after="120" w:line="480" w:lineRule="auto"/>
    </w:pPr>
    <w:rPr>
      <w:sz w:val="20"/>
      <w:szCs w:val="20"/>
    </w:rPr>
  </w:style>
  <w:style w:type="character" w:styleId="669" w:customStyle="1">
    <w:name w:val="Основной текст с отступом 2 Знак"/>
    <w:basedOn w:val="663"/>
    <w:link w:val="668"/>
    <w:rPr>
      <w:rFonts w:ascii="Times New Roman" w:hAnsi="Times New Roman" w:cs="Times New Roman"/>
    </w:rPr>
  </w:style>
  <w:style w:type="paragraph" w:styleId="670">
    <w:name w:val="Balloon Text"/>
    <w:basedOn w:val="662"/>
    <w:link w:val="671"/>
    <w:uiPriority w:val="99"/>
    <w:semiHidden/>
    <w:unhideWhenUsed/>
    <w:rPr>
      <w:rFonts w:ascii="Tahoma" w:hAnsi="Tahoma" w:cs="Tahoma"/>
      <w:sz w:val="16"/>
      <w:szCs w:val="16"/>
    </w:rPr>
  </w:style>
  <w:style w:type="character" w:styleId="671" w:customStyle="1">
    <w:name w:val="Текст выноски Знак"/>
    <w:basedOn w:val="663"/>
    <w:link w:val="670"/>
    <w:uiPriority w:val="99"/>
    <w:semiHidden/>
    <w:rPr>
      <w:rFonts w:ascii="Tahoma" w:hAnsi="Tahoma" w:cs="Tahoma"/>
      <w:sz w:val="16"/>
      <w:szCs w:val="16"/>
    </w:rPr>
  </w:style>
  <w:style w:type="paragraph" w:styleId="672" w:customStyle="1">
    <w:name w:val="ConsPlusNormal"/>
    <w:pPr>
      <w:jc w:val="both"/>
      <w:widowControl w:val="off"/>
    </w:pPr>
    <w:rPr>
      <w:rFonts w:ascii="Arial" w:hAnsi="Arial" w:cs="Arial"/>
    </w:rPr>
  </w:style>
  <w:style w:type="paragraph" w:styleId="673">
    <w:name w:val="List Paragraph"/>
    <w:basedOn w:val="662"/>
    <w:uiPriority w:val="34"/>
    <w:qFormat/>
    <w:pPr>
      <w:contextualSpacing/>
      <w:ind w:left="720"/>
    </w:pPr>
  </w:style>
  <w:style w:type="paragraph" w:styleId="674">
    <w:name w:val="Normal (Web)"/>
    <w:basedOn w:val="662"/>
    <w:uiPriority w:val="99"/>
    <w:unhideWhenUsed/>
    <w:pPr>
      <w:spacing w:before="100" w:beforeAutospacing="1" w:after="100" w:afterAutospacing="1"/>
    </w:pPr>
  </w:style>
  <w:style w:type="paragraph" w:styleId="675" w:customStyle="1">
    <w:name w:val="paragraph"/>
    <w:basedOn w:val="662"/>
    <w:pPr>
      <w:spacing w:before="100" w:beforeAutospacing="1" w:after="100" w:afterAutospacing="1"/>
    </w:pPr>
  </w:style>
  <w:style w:type="character" w:styleId="676" w:customStyle="1">
    <w:name w:val="normaltextrun"/>
    <w:basedOn w:val="663"/>
  </w:style>
  <w:style w:type="character" w:styleId="677" w:customStyle="1">
    <w:name w:val="scxw111914594"/>
    <w:basedOn w:val="663"/>
  </w:style>
  <w:style w:type="character" w:styleId="678" w:customStyle="1">
    <w:name w:val="eop"/>
    <w:basedOn w:val="663"/>
  </w:style>
  <w:style w:type="character" w:styleId="679" w:customStyle="1">
    <w:name w:val="tabchar"/>
    <w:basedOn w:val="663"/>
  </w:style>
  <w:style w:type="character" w:styleId="680" w:customStyle="1">
    <w:name w:val="spellingerror"/>
    <w:basedOn w:val="663"/>
  </w:style>
  <w:style w:type="character" w:styleId="681" w:customStyle="1">
    <w:name w:val="Основной текст (2)_"/>
    <w:basedOn w:val="663"/>
    <w:link w:val="682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682" w:customStyle="1">
    <w:name w:val="Основной текст (2)"/>
    <w:basedOn w:val="662"/>
    <w:link w:val="681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table" w:styleId="683">
    <w:name w:val="Table Grid"/>
    <w:basedOn w:val="664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84">
    <w:name w:val="Header"/>
    <w:basedOn w:val="662"/>
    <w:link w:val="6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5" w:customStyle="1">
    <w:name w:val="Верхний колонтитул Знак"/>
    <w:basedOn w:val="663"/>
    <w:link w:val="684"/>
    <w:uiPriority w:val="99"/>
    <w:rPr>
      <w:rFonts w:ascii="Times New Roman" w:hAnsi="Times New Roman" w:cs="Times New Roman"/>
      <w:sz w:val="24"/>
      <w:szCs w:val="24"/>
    </w:rPr>
  </w:style>
  <w:style w:type="paragraph" w:styleId="686">
    <w:name w:val="Footer"/>
    <w:basedOn w:val="662"/>
    <w:link w:val="68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87" w:customStyle="1">
    <w:name w:val="Нижний колонтитул Знак"/>
    <w:basedOn w:val="663"/>
    <w:link w:val="686"/>
    <w:uiPriority w:val="99"/>
    <w:semiHidden/>
    <w:rPr>
      <w:rFonts w:ascii="Times New Roman" w:hAnsi="Times New Roman" w:cs="Times New Roman"/>
      <w:sz w:val="24"/>
      <w:szCs w:val="24"/>
    </w:rPr>
  </w:style>
  <w:style w:type="character" w:styleId="688" w:customStyle="1">
    <w:name w:val="Font Style47"/>
    <w:basedOn w:val="663"/>
    <w:rPr>
      <w:rFonts w:ascii="Times New Roman" w:hAnsi="Times New Roman" w:cs="Times New Roman"/>
      <w:b/>
      <w:bCs/>
      <w:sz w:val="26"/>
      <w:szCs w:val="26"/>
    </w:rPr>
  </w:style>
  <w:style w:type="character" w:styleId="689" w:customStyle="1">
    <w:name w:val="Font Style48"/>
    <w:basedOn w:val="663"/>
    <w:rPr>
      <w:rFonts w:ascii="Times New Roman" w:hAnsi="Times New Roman" w:cs="Times New Roman"/>
      <w:sz w:val="24"/>
      <w:szCs w:val="24"/>
    </w:rPr>
  </w:style>
  <w:style w:type="paragraph" w:styleId="690" w:customStyle="1">
    <w:name w:val="ConsPlusTitle"/>
    <w:pPr>
      <w:widowControl w:val="off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image" Target="media/image2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8FFB3AC-2548-44BC-892C-CBDBFFA5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5</cp:revision>
  <dcterms:created xsi:type="dcterms:W3CDTF">2022-12-29T12:19:00Z</dcterms:created>
  <dcterms:modified xsi:type="dcterms:W3CDTF">2023-01-25T07:46:00Z</dcterms:modified>
</cp:coreProperties>
</file>